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D61CE" w14:textId="4FDA1E7A" w:rsidR="00E90E49" w:rsidRPr="00D73593" w:rsidRDefault="00E90E49" w:rsidP="00E35559">
      <w:pPr>
        <w:pStyle w:val="3GPPHeader"/>
        <w:spacing w:after="60"/>
        <w:rPr>
          <w:sz w:val="32"/>
          <w:szCs w:val="32"/>
          <w:highlight w:val="yellow"/>
          <w:lang w:val="en-GB"/>
        </w:rPr>
      </w:pPr>
      <w:r w:rsidRPr="00D73593">
        <w:rPr>
          <w:lang w:val="en-GB"/>
        </w:rPr>
        <w:t>3GPP TSG-RAN WG</w:t>
      </w:r>
      <w:r w:rsidR="008F1C4E" w:rsidRPr="00D73593">
        <w:rPr>
          <w:lang w:val="en-GB"/>
        </w:rPr>
        <w:t>1</w:t>
      </w:r>
      <w:r w:rsidRPr="00D73593">
        <w:rPr>
          <w:lang w:val="en-GB"/>
        </w:rPr>
        <w:t xml:space="preserve"> </w:t>
      </w:r>
      <w:r w:rsidR="008F1C4E" w:rsidRPr="00D73593">
        <w:rPr>
          <w:lang w:val="en-GB"/>
        </w:rPr>
        <w:t xml:space="preserve">Meeting </w:t>
      </w:r>
      <w:r w:rsidRPr="00D73593">
        <w:rPr>
          <w:lang w:val="en-GB"/>
        </w:rPr>
        <w:t>#</w:t>
      </w:r>
      <w:r w:rsidR="00440284" w:rsidRPr="00D73593">
        <w:rPr>
          <w:lang w:val="en-GB"/>
        </w:rPr>
        <w:t>10</w:t>
      </w:r>
      <w:r w:rsidR="00011353" w:rsidRPr="00D73593">
        <w:rPr>
          <w:lang w:val="en-GB"/>
        </w:rPr>
        <w:t>5-e</w:t>
      </w:r>
      <w:r w:rsidRPr="00D73593">
        <w:rPr>
          <w:lang w:val="en-GB"/>
        </w:rPr>
        <w:tab/>
      </w:r>
      <w:r w:rsidR="00091557" w:rsidRPr="00D73593">
        <w:rPr>
          <w:sz w:val="32"/>
          <w:szCs w:val="32"/>
          <w:lang w:val="en-GB"/>
        </w:rPr>
        <w:t>R</w:t>
      </w:r>
      <w:r w:rsidR="008F1C4E" w:rsidRPr="00D73593">
        <w:rPr>
          <w:sz w:val="32"/>
          <w:szCs w:val="32"/>
          <w:lang w:val="en-GB"/>
        </w:rPr>
        <w:t>1</w:t>
      </w:r>
      <w:r w:rsidR="00091557" w:rsidRPr="00D73593">
        <w:rPr>
          <w:sz w:val="32"/>
          <w:szCs w:val="32"/>
          <w:lang w:val="en-GB"/>
        </w:rPr>
        <w:t>-</w:t>
      </w:r>
      <w:r w:rsidR="00440284" w:rsidRPr="00D73593">
        <w:rPr>
          <w:sz w:val="32"/>
          <w:szCs w:val="32"/>
          <w:lang w:val="en-GB"/>
        </w:rPr>
        <w:t>21</w:t>
      </w:r>
      <w:r w:rsidR="003F6658">
        <w:rPr>
          <w:sz w:val="32"/>
          <w:szCs w:val="32"/>
          <w:lang w:val="en-GB"/>
        </w:rPr>
        <w:t>05839</w:t>
      </w:r>
    </w:p>
    <w:p w14:paraId="1FFDDB9A" w14:textId="0B4E35B5" w:rsidR="00E90E49" w:rsidRPr="00D73593" w:rsidRDefault="008E233A" w:rsidP="00311702">
      <w:pPr>
        <w:pStyle w:val="3GPPHeader"/>
        <w:rPr>
          <w:lang w:val="en-GB"/>
        </w:rPr>
      </w:pPr>
      <w:r w:rsidRPr="00D73593">
        <w:rPr>
          <w:lang w:val="en-GB"/>
        </w:rPr>
        <w:t>Online</w:t>
      </w:r>
      <w:r w:rsidR="0027144F" w:rsidRPr="00D73593">
        <w:rPr>
          <w:lang w:val="en-GB"/>
        </w:rPr>
        <w:t xml:space="preserve">, </w:t>
      </w:r>
      <w:r w:rsidR="00311702" w:rsidRPr="00D73593">
        <w:rPr>
          <w:lang w:val="en-GB"/>
        </w:rPr>
        <w:t>M</w:t>
      </w:r>
      <w:r w:rsidRPr="00D73593">
        <w:rPr>
          <w:lang w:val="en-GB"/>
        </w:rPr>
        <w:t>ay</w:t>
      </w:r>
      <w:r w:rsidR="0027144F" w:rsidRPr="00D73593">
        <w:rPr>
          <w:lang w:val="en-GB"/>
        </w:rPr>
        <w:t xml:space="preserve"> </w:t>
      </w:r>
      <w:r w:rsidRPr="00D73593">
        <w:rPr>
          <w:lang w:val="en-GB"/>
        </w:rPr>
        <w:t>10</w:t>
      </w:r>
      <w:r w:rsidR="001D53E7" w:rsidRPr="00D73593">
        <w:rPr>
          <w:vertAlign w:val="superscript"/>
          <w:lang w:val="en-GB"/>
        </w:rPr>
        <w:t>th</w:t>
      </w:r>
      <w:r w:rsidR="001D53E7" w:rsidRPr="00D73593">
        <w:rPr>
          <w:lang w:val="en-GB"/>
        </w:rPr>
        <w:t xml:space="preserve"> – </w:t>
      </w:r>
      <w:r w:rsidRPr="00D73593">
        <w:rPr>
          <w:lang w:val="en-GB"/>
        </w:rPr>
        <w:t>27</w:t>
      </w:r>
      <w:r w:rsidR="001D53E7" w:rsidRPr="00D73593">
        <w:rPr>
          <w:vertAlign w:val="superscript"/>
          <w:lang w:val="en-GB"/>
        </w:rPr>
        <w:t>th</w:t>
      </w:r>
      <w:r w:rsidR="00C37CB2" w:rsidRPr="00D73593">
        <w:rPr>
          <w:lang w:val="en-GB"/>
        </w:rPr>
        <w:t xml:space="preserve"> </w:t>
      </w:r>
      <w:r w:rsidR="0027144F" w:rsidRPr="00D73593">
        <w:rPr>
          <w:lang w:val="en-GB"/>
        </w:rPr>
        <w:t>20</w:t>
      </w:r>
      <w:r w:rsidR="00440284" w:rsidRPr="00D73593">
        <w:rPr>
          <w:lang w:val="en-GB"/>
        </w:rPr>
        <w:t>21</w:t>
      </w:r>
    </w:p>
    <w:p w14:paraId="68DE6C86" w14:textId="77777777" w:rsidR="00E90E49" w:rsidRPr="00D73593" w:rsidRDefault="00E90E49" w:rsidP="00357380">
      <w:pPr>
        <w:pStyle w:val="3GPPHeader"/>
        <w:rPr>
          <w:lang w:val="en-GB"/>
        </w:rPr>
      </w:pPr>
    </w:p>
    <w:p w14:paraId="37F638C2" w14:textId="03F50AC2" w:rsidR="00E90E49" w:rsidRPr="00D73593" w:rsidRDefault="00E90E49" w:rsidP="00311702">
      <w:pPr>
        <w:pStyle w:val="3GPPHeader"/>
        <w:rPr>
          <w:sz w:val="22"/>
          <w:lang w:val="en-GB"/>
        </w:rPr>
      </w:pPr>
      <w:r w:rsidRPr="00D73593">
        <w:rPr>
          <w:sz w:val="22"/>
          <w:lang w:val="en-GB"/>
        </w:rPr>
        <w:t>Agenda Item:</w:t>
      </w:r>
      <w:r w:rsidRPr="00D73593">
        <w:rPr>
          <w:sz w:val="22"/>
          <w:lang w:val="en-GB"/>
        </w:rPr>
        <w:tab/>
      </w:r>
      <w:r w:rsidR="008E233A" w:rsidRPr="00D73593">
        <w:rPr>
          <w:sz w:val="22"/>
          <w:lang w:val="en-GB"/>
        </w:rPr>
        <w:t>8.10.2</w:t>
      </w:r>
    </w:p>
    <w:p w14:paraId="7BEC296A" w14:textId="77777777" w:rsidR="00E90E49" w:rsidRPr="00D73593" w:rsidRDefault="003D3C45" w:rsidP="00F64C2B">
      <w:pPr>
        <w:pStyle w:val="3GPPHeader"/>
        <w:rPr>
          <w:sz w:val="22"/>
          <w:lang w:val="en-GB"/>
        </w:rPr>
      </w:pPr>
      <w:r w:rsidRPr="00D73593">
        <w:rPr>
          <w:sz w:val="22"/>
          <w:lang w:val="en-GB"/>
        </w:rPr>
        <w:t>Source:</w:t>
      </w:r>
      <w:r w:rsidR="00E90E49" w:rsidRPr="00D73593">
        <w:rPr>
          <w:sz w:val="22"/>
          <w:lang w:val="en-GB"/>
        </w:rPr>
        <w:tab/>
      </w:r>
      <w:r w:rsidR="00F64C2B" w:rsidRPr="00D73593">
        <w:rPr>
          <w:sz w:val="22"/>
          <w:lang w:val="en-GB"/>
        </w:rPr>
        <w:t>Ericsson</w:t>
      </w:r>
    </w:p>
    <w:p w14:paraId="2DFDB787" w14:textId="133948DF" w:rsidR="00E90E49" w:rsidRPr="00D73593" w:rsidRDefault="003D3C45" w:rsidP="00311702">
      <w:pPr>
        <w:pStyle w:val="3GPPHeader"/>
        <w:rPr>
          <w:sz w:val="22"/>
          <w:lang w:val="en-GB"/>
        </w:rPr>
      </w:pPr>
      <w:r w:rsidRPr="00D73593">
        <w:rPr>
          <w:sz w:val="22"/>
          <w:lang w:val="en-GB"/>
        </w:rPr>
        <w:t>Title:</w:t>
      </w:r>
      <w:r w:rsidR="00E90E49" w:rsidRPr="00D73593">
        <w:rPr>
          <w:sz w:val="22"/>
          <w:lang w:val="en-GB"/>
        </w:rPr>
        <w:tab/>
      </w:r>
      <w:r w:rsidR="00311702" w:rsidRPr="00D73593">
        <w:rPr>
          <w:sz w:val="22"/>
          <w:lang w:val="en-GB"/>
        </w:rPr>
        <w:t>Ti</w:t>
      </w:r>
      <w:r w:rsidR="008E233A" w:rsidRPr="00D73593">
        <w:rPr>
          <w:sz w:val="22"/>
          <w:lang w:val="en-GB"/>
        </w:rPr>
        <w:t>ming, interference man</w:t>
      </w:r>
      <w:r w:rsidR="00CE17B9" w:rsidRPr="00D73593">
        <w:rPr>
          <w:sz w:val="22"/>
          <w:lang w:val="en-GB"/>
        </w:rPr>
        <w:t>a</w:t>
      </w:r>
      <w:r w:rsidR="008E233A" w:rsidRPr="00D73593">
        <w:rPr>
          <w:sz w:val="22"/>
          <w:lang w:val="en-GB"/>
        </w:rPr>
        <w:t>gement and power control</w:t>
      </w:r>
      <w:r w:rsidR="00A428C5">
        <w:rPr>
          <w:sz w:val="22"/>
          <w:lang w:val="en-GB"/>
        </w:rPr>
        <w:t xml:space="preserve"> in enhanced IAB</w:t>
      </w:r>
    </w:p>
    <w:p w14:paraId="79767ECC" w14:textId="77777777" w:rsidR="00E90E49" w:rsidRPr="00D73593" w:rsidRDefault="00E90E49" w:rsidP="00D546FF">
      <w:pPr>
        <w:pStyle w:val="3GPPHeader"/>
        <w:rPr>
          <w:sz w:val="22"/>
          <w:lang w:val="en-GB"/>
        </w:rPr>
      </w:pPr>
      <w:r w:rsidRPr="00D73593">
        <w:rPr>
          <w:sz w:val="22"/>
          <w:lang w:val="en-GB"/>
        </w:rPr>
        <w:t>Document for:</w:t>
      </w:r>
      <w:r w:rsidRPr="00D73593">
        <w:rPr>
          <w:sz w:val="22"/>
          <w:lang w:val="en-GB"/>
        </w:rPr>
        <w:tab/>
        <w:t>Discussion, Decision</w:t>
      </w:r>
    </w:p>
    <w:p w14:paraId="51EB4042" w14:textId="77777777" w:rsidR="00E90E49" w:rsidRPr="00D73593" w:rsidRDefault="00E90E49" w:rsidP="00E90E49">
      <w:pPr>
        <w:rPr>
          <w:lang w:val="en-GB"/>
        </w:rPr>
      </w:pPr>
    </w:p>
    <w:p w14:paraId="490D1066" w14:textId="77777777" w:rsidR="00E90E49" w:rsidRDefault="00E90E49" w:rsidP="001968ED">
      <w:pPr>
        <w:pStyle w:val="Heading1"/>
      </w:pPr>
      <w:r w:rsidRPr="00CE0424">
        <w:t>Introduction</w:t>
      </w:r>
    </w:p>
    <w:p w14:paraId="30970D5B" w14:textId="0E40E5C8" w:rsidR="00646CE9" w:rsidRPr="00D73593" w:rsidRDefault="00646CE9" w:rsidP="00646CE9">
      <w:pPr>
        <w:pStyle w:val="BodyText"/>
        <w:spacing w:before="240"/>
        <w:rPr>
          <w:rFonts w:cs="Arial"/>
          <w:lang w:val="en-GB"/>
        </w:rPr>
      </w:pPr>
      <w:r w:rsidRPr="00D73593">
        <w:rPr>
          <w:rFonts w:cs="Arial"/>
          <w:lang w:val="en-GB"/>
        </w:rPr>
        <w:t>In RAN1 #103-e, following agreements were made regarding enhancements of IAB-node timing mode(s)</w:t>
      </w:r>
      <w:r w:rsidR="003715B2">
        <w:rPr>
          <w:rFonts w:cs="Arial"/>
          <w:lang w:val="en-GB"/>
        </w:rPr>
        <w:t xml:space="preserve"> </w:t>
      </w:r>
      <w:r w:rsidR="003715B2">
        <w:rPr>
          <w:rFonts w:cs="Arial"/>
          <w:lang w:val="en-GB"/>
        </w:rPr>
        <w:fldChar w:fldCharType="begin"/>
      </w:r>
      <w:r w:rsidR="003715B2">
        <w:rPr>
          <w:rFonts w:cs="Arial"/>
          <w:lang w:val="en-GB"/>
        </w:rPr>
        <w:instrText xml:space="preserve"> REF _Ref71549998 \w \h </w:instrText>
      </w:r>
      <w:r w:rsidR="003715B2">
        <w:rPr>
          <w:rFonts w:cs="Arial"/>
          <w:lang w:val="en-GB"/>
        </w:rPr>
      </w:r>
      <w:r w:rsidR="003715B2">
        <w:rPr>
          <w:rFonts w:cs="Arial"/>
          <w:lang w:val="en-GB"/>
        </w:rPr>
        <w:fldChar w:fldCharType="separate"/>
      </w:r>
      <w:r w:rsidR="000E3397">
        <w:rPr>
          <w:rFonts w:cs="Arial"/>
          <w:lang w:val="en-GB"/>
        </w:rPr>
        <w:t>[1]</w:t>
      </w:r>
      <w:r w:rsidR="003715B2">
        <w:rPr>
          <w:rFonts w:cs="Arial"/>
          <w:lang w:val="en-GB"/>
        </w:rPr>
        <w:fldChar w:fldCharType="end"/>
      </w:r>
      <w:r w:rsidRPr="00D73593">
        <w:rPr>
          <w:rFonts w:cs="Arial"/>
          <w:lang w:val="en-GB"/>
        </w:rPr>
        <w:t>:</w:t>
      </w:r>
    </w:p>
    <w:tbl>
      <w:tblPr>
        <w:tblStyle w:val="TableGrid"/>
        <w:tblW w:w="0" w:type="auto"/>
        <w:tblLook w:val="04A0" w:firstRow="1" w:lastRow="0" w:firstColumn="1" w:lastColumn="0" w:noHBand="0" w:noVBand="1"/>
      </w:tblPr>
      <w:tblGrid>
        <w:gridCol w:w="9629"/>
      </w:tblGrid>
      <w:tr w:rsidR="00646CE9" w:rsidRPr="00D73593" w14:paraId="70D64F51" w14:textId="77777777" w:rsidTr="003F6658">
        <w:tc>
          <w:tcPr>
            <w:tcW w:w="9629" w:type="dxa"/>
          </w:tcPr>
          <w:p w14:paraId="2DE83274" w14:textId="77777777" w:rsidR="00646CE9" w:rsidRPr="0010194A" w:rsidRDefault="00646CE9" w:rsidP="003F6658">
            <w:pPr>
              <w:pStyle w:val="BodyText"/>
              <w:rPr>
                <w:rFonts w:cs="Arial"/>
                <w:b/>
                <w:bCs/>
                <w:sz w:val="20"/>
                <w:szCs w:val="20"/>
                <w:lang w:val="en-GB"/>
              </w:rPr>
            </w:pPr>
            <w:r w:rsidRPr="0010194A">
              <w:rPr>
                <w:rFonts w:cs="Arial"/>
                <w:b/>
                <w:bCs/>
                <w:sz w:val="20"/>
                <w:szCs w:val="20"/>
                <w:highlight w:val="green"/>
                <w:lang w:val="en-GB"/>
              </w:rPr>
              <w:t>Agreement</w:t>
            </w:r>
          </w:p>
          <w:p w14:paraId="3FE4502D" w14:textId="77777777" w:rsidR="00646CE9" w:rsidRPr="00D73593" w:rsidRDefault="00646CE9" w:rsidP="003F6658">
            <w:pPr>
              <w:pStyle w:val="BodyText"/>
              <w:rPr>
                <w:rFonts w:cs="Arial"/>
                <w:sz w:val="20"/>
                <w:szCs w:val="20"/>
                <w:lang w:val="en-GB"/>
              </w:rPr>
            </w:pPr>
            <w:r w:rsidRPr="00D73593">
              <w:rPr>
                <w:rFonts w:cs="Arial"/>
                <w:sz w:val="20"/>
                <w:szCs w:val="20"/>
                <w:lang w:val="en-GB"/>
              </w:rPr>
              <w:t>An IAB-node can rely on an OTA timing synchronization mechanism to enable/maintain Case 6 timing mode</w:t>
            </w:r>
          </w:p>
          <w:p w14:paraId="34E4A57E" w14:textId="2022C948" w:rsidR="00646CE9" w:rsidRPr="00D73593" w:rsidRDefault="00646CE9" w:rsidP="003F6658">
            <w:pPr>
              <w:pStyle w:val="BodyText"/>
              <w:numPr>
                <w:ilvl w:val="0"/>
                <w:numId w:val="31"/>
              </w:numPr>
              <w:spacing w:line="240" w:lineRule="auto"/>
              <w:rPr>
                <w:rFonts w:cs="Arial"/>
                <w:sz w:val="20"/>
                <w:szCs w:val="20"/>
                <w:lang w:val="en-GB"/>
              </w:rPr>
            </w:pPr>
            <w:r w:rsidRPr="00D73593">
              <w:rPr>
                <w:rFonts w:cs="Arial"/>
                <w:sz w:val="20"/>
                <w:szCs w:val="20"/>
                <w:lang w:val="en-GB"/>
              </w:rPr>
              <w:t>FFS whether the Rel-16 OTA synchronization mechanism is sufficient</w:t>
            </w:r>
            <w:r w:rsidR="00DD7BAD">
              <w:rPr>
                <w:rFonts w:cs="Arial"/>
                <w:sz w:val="20"/>
                <w:szCs w:val="20"/>
                <w:lang w:val="en-GB"/>
              </w:rPr>
              <w:t>,</w:t>
            </w:r>
            <w:r w:rsidRPr="00D73593">
              <w:rPr>
                <w:rFonts w:cs="Arial"/>
                <w:sz w:val="20"/>
                <w:szCs w:val="20"/>
                <w:lang w:val="en-GB"/>
              </w:rPr>
              <w:t xml:space="preserve"> or enhancements are required</w:t>
            </w:r>
          </w:p>
          <w:p w14:paraId="42AD8FC4" w14:textId="77777777" w:rsidR="00646CE9" w:rsidRPr="00D73593" w:rsidRDefault="00646CE9" w:rsidP="003F6658">
            <w:pPr>
              <w:pStyle w:val="BodyText"/>
              <w:numPr>
                <w:ilvl w:val="1"/>
                <w:numId w:val="31"/>
              </w:numPr>
              <w:spacing w:line="240" w:lineRule="auto"/>
              <w:rPr>
                <w:rFonts w:cs="Arial"/>
                <w:sz w:val="20"/>
                <w:szCs w:val="20"/>
                <w:lang w:val="en-GB"/>
              </w:rPr>
            </w:pPr>
            <w:r w:rsidRPr="00D73593">
              <w:rPr>
                <w:rFonts w:cs="Arial"/>
                <w:sz w:val="20"/>
                <w:szCs w:val="20"/>
                <w:lang w:val="en-GB"/>
              </w:rPr>
              <w:t>If required, details of enhancements including the uplink timing(s) required to support different timing alignment cases</w:t>
            </w:r>
          </w:p>
          <w:p w14:paraId="17712680" w14:textId="77777777" w:rsidR="00646CE9" w:rsidRPr="0010194A" w:rsidRDefault="00646CE9" w:rsidP="003F6658">
            <w:pPr>
              <w:pStyle w:val="BodyText"/>
              <w:rPr>
                <w:rFonts w:cs="Arial"/>
                <w:b/>
                <w:bCs/>
                <w:sz w:val="20"/>
                <w:szCs w:val="20"/>
                <w:lang w:val="en-GB"/>
              </w:rPr>
            </w:pPr>
            <w:r w:rsidRPr="0010194A">
              <w:rPr>
                <w:rFonts w:cs="Arial"/>
                <w:b/>
                <w:bCs/>
                <w:sz w:val="20"/>
                <w:szCs w:val="20"/>
                <w:highlight w:val="green"/>
                <w:lang w:val="en-GB"/>
              </w:rPr>
              <w:t>Agreement</w:t>
            </w:r>
          </w:p>
          <w:p w14:paraId="6ADEBD3C" w14:textId="77777777" w:rsidR="00646CE9" w:rsidRPr="00D73593" w:rsidRDefault="00646CE9" w:rsidP="003F6658">
            <w:pPr>
              <w:pStyle w:val="BodyText"/>
              <w:rPr>
                <w:rFonts w:cs="Arial"/>
                <w:sz w:val="20"/>
                <w:szCs w:val="20"/>
                <w:lang w:val="en-GB"/>
              </w:rPr>
            </w:pPr>
            <w:r w:rsidRPr="00D73593">
              <w:rPr>
                <w:rFonts w:cs="Arial"/>
                <w:sz w:val="20"/>
                <w:szCs w:val="20"/>
                <w:lang w:val="en-GB"/>
              </w:rPr>
              <w:t>An IAB-node, when operating in Case 7 timing mode, can enable a child node to set its DL Tx timing based on Rel-16 OTA timing synchronization mechanism.</w:t>
            </w:r>
          </w:p>
          <w:p w14:paraId="7E0EA499" w14:textId="77777777" w:rsidR="00646CE9" w:rsidRPr="00D73593" w:rsidRDefault="00646CE9" w:rsidP="003F6658">
            <w:pPr>
              <w:pStyle w:val="BodyText"/>
              <w:numPr>
                <w:ilvl w:val="0"/>
                <w:numId w:val="31"/>
              </w:numPr>
              <w:spacing w:line="240" w:lineRule="auto"/>
              <w:rPr>
                <w:rFonts w:cs="Arial"/>
                <w:sz w:val="20"/>
                <w:szCs w:val="20"/>
                <w:lang w:val="en-GB"/>
              </w:rPr>
            </w:pPr>
            <w:r w:rsidRPr="00D73593">
              <w:rPr>
                <w:rFonts w:cs="Arial"/>
                <w:sz w:val="20"/>
                <w:szCs w:val="20"/>
                <w:lang w:val="en-GB"/>
              </w:rPr>
              <w:t>FFS whether Rel-16 OTA synchronization mechanism enhancements are required</w:t>
            </w:r>
          </w:p>
          <w:p w14:paraId="12CD80E3" w14:textId="77777777" w:rsidR="00646CE9" w:rsidRPr="00D73593" w:rsidRDefault="00646CE9" w:rsidP="003F6658">
            <w:pPr>
              <w:pStyle w:val="BodyText"/>
              <w:numPr>
                <w:ilvl w:val="1"/>
                <w:numId w:val="31"/>
              </w:numPr>
              <w:spacing w:line="240" w:lineRule="auto"/>
              <w:rPr>
                <w:rFonts w:cs="Arial"/>
                <w:sz w:val="20"/>
                <w:szCs w:val="20"/>
                <w:lang w:val="en-GB"/>
              </w:rPr>
            </w:pPr>
            <w:r w:rsidRPr="00D73593">
              <w:rPr>
                <w:rFonts w:cs="Arial"/>
                <w:sz w:val="20"/>
                <w:szCs w:val="20"/>
                <w:lang w:val="en-GB"/>
              </w:rPr>
              <w:t>FFS details of enhancements, if required</w:t>
            </w:r>
          </w:p>
        </w:tc>
      </w:tr>
    </w:tbl>
    <w:p w14:paraId="0633F885" w14:textId="446CCF88" w:rsidR="00153F30" w:rsidRPr="00D73593" w:rsidRDefault="00153F30" w:rsidP="009A56DF">
      <w:pPr>
        <w:spacing w:before="240" w:line="240" w:lineRule="auto"/>
        <w:rPr>
          <w:lang w:val="en-GB" w:eastAsia="ja-JP"/>
        </w:rPr>
      </w:pPr>
      <w:r w:rsidRPr="00D73593">
        <w:rPr>
          <w:rFonts w:cs="Arial"/>
          <w:lang w:val="en-GB"/>
        </w:rPr>
        <w:t>In RAN1 #10</w:t>
      </w:r>
      <w:r>
        <w:rPr>
          <w:rFonts w:cs="Arial"/>
          <w:lang w:val="en-GB"/>
        </w:rPr>
        <w:t>4</w:t>
      </w:r>
      <w:r w:rsidRPr="00D73593">
        <w:rPr>
          <w:rFonts w:cs="Arial"/>
          <w:lang w:val="en-GB"/>
        </w:rPr>
        <w:t xml:space="preserve">-e, following agreements were made regarding </w:t>
      </w:r>
      <w:r w:rsidR="007320D0">
        <w:rPr>
          <w:rFonts w:cs="Arial"/>
          <w:lang w:val="en-GB"/>
        </w:rPr>
        <w:t>interference management</w:t>
      </w:r>
      <w:r>
        <w:rPr>
          <w:rFonts w:cs="Arial"/>
          <w:lang w:val="en-GB"/>
        </w:rPr>
        <w:t xml:space="preserve"> </w:t>
      </w:r>
      <w:r>
        <w:rPr>
          <w:rFonts w:cs="Arial"/>
          <w:lang w:val="en-GB"/>
        </w:rPr>
        <w:fldChar w:fldCharType="begin"/>
      </w:r>
      <w:r>
        <w:rPr>
          <w:rFonts w:cs="Arial"/>
          <w:lang w:val="en-GB"/>
        </w:rPr>
        <w:instrText xml:space="preserve"> REF _Ref71550009 \w \h </w:instrText>
      </w:r>
      <w:r>
        <w:rPr>
          <w:rFonts w:cs="Arial"/>
          <w:lang w:val="en-GB"/>
        </w:rPr>
      </w:r>
      <w:r>
        <w:rPr>
          <w:rFonts w:cs="Arial"/>
          <w:lang w:val="en-GB"/>
        </w:rPr>
        <w:fldChar w:fldCharType="separate"/>
      </w:r>
      <w:r w:rsidR="000E3397">
        <w:rPr>
          <w:rFonts w:cs="Arial"/>
          <w:lang w:val="en-GB"/>
        </w:rPr>
        <w:t>[2]</w:t>
      </w:r>
      <w:r>
        <w:rPr>
          <w:rFonts w:cs="Arial"/>
          <w:lang w:val="en-GB"/>
        </w:rPr>
        <w:fldChar w:fldCharType="end"/>
      </w:r>
      <w:r>
        <w:rPr>
          <w:rFonts w:cs="Arial"/>
          <w:lang w:val="en-GB"/>
        </w:rPr>
        <w:t>:</w:t>
      </w:r>
    </w:p>
    <w:tbl>
      <w:tblPr>
        <w:tblStyle w:val="TableGrid"/>
        <w:tblW w:w="0" w:type="auto"/>
        <w:tblLook w:val="04A0" w:firstRow="1" w:lastRow="0" w:firstColumn="1" w:lastColumn="0" w:noHBand="0" w:noVBand="1"/>
      </w:tblPr>
      <w:tblGrid>
        <w:gridCol w:w="9629"/>
      </w:tblGrid>
      <w:tr w:rsidR="0039189F" w:rsidRPr="0010194A" w14:paraId="2A95F3BF" w14:textId="77777777" w:rsidTr="0039189F">
        <w:tc>
          <w:tcPr>
            <w:tcW w:w="9629" w:type="dxa"/>
          </w:tcPr>
          <w:p w14:paraId="40AD12E9" w14:textId="77777777" w:rsidR="004D74BA" w:rsidRPr="0010194A" w:rsidRDefault="004D74BA" w:rsidP="009A56DF">
            <w:pPr>
              <w:spacing w:before="240" w:line="240" w:lineRule="auto"/>
              <w:rPr>
                <w:rFonts w:cs="Arial"/>
                <w:b/>
                <w:bCs/>
                <w:sz w:val="20"/>
                <w:szCs w:val="18"/>
                <w:lang w:val="en-GB" w:eastAsia="ja-JP"/>
              </w:rPr>
            </w:pPr>
            <w:r w:rsidRPr="0010194A">
              <w:rPr>
                <w:rFonts w:cs="Arial"/>
                <w:b/>
                <w:bCs/>
                <w:sz w:val="20"/>
                <w:szCs w:val="18"/>
                <w:highlight w:val="green"/>
                <w:lang w:val="en-GB" w:eastAsia="ja-JP"/>
              </w:rPr>
              <w:t>Agreement</w:t>
            </w:r>
          </w:p>
          <w:p w14:paraId="50ED286F" w14:textId="77777777" w:rsidR="00C540A9" w:rsidRPr="0010194A" w:rsidRDefault="00C540A9" w:rsidP="009A56DF">
            <w:pPr>
              <w:spacing w:line="240" w:lineRule="auto"/>
              <w:rPr>
                <w:sz w:val="20"/>
                <w:szCs w:val="18"/>
                <w:lang w:val="en-GB"/>
              </w:rPr>
            </w:pPr>
            <w:r w:rsidRPr="0010194A">
              <w:rPr>
                <w:sz w:val="20"/>
                <w:szCs w:val="18"/>
                <w:lang w:val="en-GB"/>
              </w:rPr>
              <w:t>RAN1 to select among the following options to support DU-to-DU measurement and report.</w:t>
            </w:r>
          </w:p>
          <w:p w14:paraId="35351459" w14:textId="77777777" w:rsidR="00E82650" w:rsidRPr="0010194A" w:rsidRDefault="00E82650" w:rsidP="009A56DF">
            <w:pPr>
              <w:numPr>
                <w:ilvl w:val="1"/>
                <w:numId w:val="33"/>
              </w:numPr>
              <w:spacing w:line="240" w:lineRule="auto"/>
              <w:rPr>
                <w:sz w:val="20"/>
                <w:szCs w:val="18"/>
                <w:lang w:val="en-GB"/>
              </w:rPr>
            </w:pPr>
            <w:r w:rsidRPr="0010194A">
              <w:rPr>
                <w:sz w:val="20"/>
                <w:szCs w:val="18"/>
                <w:lang w:val="en-GB"/>
              </w:rPr>
              <w:t>For DU-to-DU CLI measurement:</w:t>
            </w:r>
          </w:p>
          <w:p w14:paraId="505A74FF" w14:textId="77777777" w:rsidR="00E82650" w:rsidRPr="0010194A" w:rsidRDefault="00E82650" w:rsidP="009A56DF">
            <w:pPr>
              <w:numPr>
                <w:ilvl w:val="2"/>
                <w:numId w:val="33"/>
              </w:numPr>
              <w:spacing w:line="240" w:lineRule="auto"/>
              <w:rPr>
                <w:sz w:val="20"/>
                <w:szCs w:val="18"/>
                <w:lang w:val="en-GB"/>
              </w:rPr>
            </w:pPr>
            <w:r w:rsidRPr="0010194A">
              <w:rPr>
                <w:sz w:val="20"/>
                <w:szCs w:val="18"/>
                <w:lang w:val="en-GB"/>
              </w:rPr>
              <w:t>Option 1.1. no specific mechanism is specified (e.g., it i</w:t>
            </w:r>
            <w:r w:rsidR="00C540A9" w:rsidRPr="0010194A">
              <w:rPr>
                <w:sz w:val="20"/>
                <w:szCs w:val="18"/>
                <w:lang w:val="en-GB"/>
              </w:rPr>
              <w:t>s handled by the implementation,</w:t>
            </w:r>
            <w:r w:rsidRPr="0010194A">
              <w:rPr>
                <w:sz w:val="20"/>
                <w:szCs w:val="18"/>
                <w:lang w:val="en-GB"/>
              </w:rPr>
              <w:t xml:space="preserve"> or the available techniques)</w:t>
            </w:r>
          </w:p>
          <w:p w14:paraId="39472C3C" w14:textId="77777777" w:rsidR="00E82650" w:rsidRPr="0010194A" w:rsidRDefault="00E82650" w:rsidP="009A56DF">
            <w:pPr>
              <w:numPr>
                <w:ilvl w:val="2"/>
                <w:numId w:val="33"/>
              </w:numPr>
              <w:spacing w:line="240" w:lineRule="auto"/>
              <w:rPr>
                <w:sz w:val="20"/>
                <w:szCs w:val="18"/>
                <w:lang w:val="en-GB"/>
              </w:rPr>
            </w:pPr>
            <w:r w:rsidRPr="0010194A">
              <w:rPr>
                <w:sz w:val="20"/>
                <w:szCs w:val="18"/>
                <w:lang w:val="en-GB"/>
              </w:rPr>
              <w:t>Option 1.2. enhanced legacy DU-based measurement procedures (e.g., enhanced Rel-16 RIM)</w:t>
            </w:r>
          </w:p>
          <w:p w14:paraId="7A78CC37" w14:textId="77777777" w:rsidR="00E82650" w:rsidRPr="0010194A" w:rsidRDefault="00E82650" w:rsidP="001560C6">
            <w:pPr>
              <w:numPr>
                <w:ilvl w:val="2"/>
                <w:numId w:val="33"/>
              </w:numPr>
              <w:spacing w:line="240" w:lineRule="auto"/>
              <w:rPr>
                <w:sz w:val="20"/>
                <w:szCs w:val="18"/>
                <w:lang w:val="en-GB"/>
              </w:rPr>
            </w:pPr>
            <w:r w:rsidRPr="0010194A">
              <w:rPr>
                <w:sz w:val="20"/>
                <w:szCs w:val="18"/>
                <w:lang w:val="en-GB"/>
              </w:rPr>
              <w:t>Option 1.3. enhanced MT-based measurements (e.g., MT-based CLI, MT RRM measurements)</w:t>
            </w:r>
          </w:p>
          <w:p w14:paraId="073F52B2" w14:textId="77777777" w:rsidR="00E82650" w:rsidRPr="0010194A" w:rsidRDefault="00E82650" w:rsidP="0010194A">
            <w:pPr>
              <w:numPr>
                <w:ilvl w:val="1"/>
                <w:numId w:val="33"/>
              </w:numPr>
              <w:spacing w:after="0" w:line="240" w:lineRule="auto"/>
              <w:rPr>
                <w:sz w:val="20"/>
                <w:szCs w:val="18"/>
                <w:lang w:val="sv-SE"/>
              </w:rPr>
            </w:pPr>
            <w:r w:rsidRPr="0010194A">
              <w:rPr>
                <w:sz w:val="20"/>
                <w:szCs w:val="18"/>
                <w:lang w:val="en-GB"/>
              </w:rPr>
              <w:t>For DU-to-DU CLI report:</w:t>
            </w:r>
          </w:p>
          <w:p w14:paraId="23541BC1" w14:textId="321B94B2" w:rsidR="00E82650" w:rsidRPr="0010194A" w:rsidDel="001560C6" w:rsidRDefault="00E82650" w:rsidP="0010194A">
            <w:pPr>
              <w:numPr>
                <w:ilvl w:val="2"/>
                <w:numId w:val="33"/>
              </w:numPr>
              <w:spacing w:before="240" w:after="0" w:line="240" w:lineRule="auto"/>
              <w:rPr>
                <w:sz w:val="20"/>
                <w:szCs w:val="18"/>
                <w:lang w:val="en-GB"/>
              </w:rPr>
            </w:pPr>
            <w:r w:rsidRPr="0010194A">
              <w:rPr>
                <w:sz w:val="20"/>
                <w:szCs w:val="18"/>
                <w:lang w:val="en-GB"/>
              </w:rPr>
              <w:lastRenderedPageBreak/>
              <w:t>Option 2.1. no specific mechanism is specified (e.g., it</w:t>
            </w:r>
            <w:r w:rsidR="00C540A9" w:rsidRPr="0010194A">
              <w:rPr>
                <w:sz w:val="20"/>
                <w:szCs w:val="18"/>
                <w:lang w:val="en-GB"/>
              </w:rPr>
              <w:t xml:space="preserve"> is handled by the implementation,</w:t>
            </w:r>
            <w:r w:rsidRPr="0010194A">
              <w:rPr>
                <w:sz w:val="20"/>
                <w:szCs w:val="18"/>
                <w:lang w:val="en-GB"/>
              </w:rPr>
              <w:t xml:space="preserve"> or the available techniques)</w:t>
            </w:r>
          </w:p>
          <w:p w14:paraId="6B8647B1" w14:textId="77777777" w:rsidR="00C738CC" w:rsidRPr="0010194A" w:rsidRDefault="00E82650" w:rsidP="0010194A">
            <w:pPr>
              <w:numPr>
                <w:ilvl w:val="2"/>
                <w:numId w:val="33"/>
              </w:numPr>
              <w:spacing w:before="240" w:after="0" w:line="240" w:lineRule="auto"/>
              <w:rPr>
                <w:rFonts w:cs="Arial"/>
                <w:sz w:val="20"/>
                <w:szCs w:val="18"/>
                <w:lang w:val="en-GB"/>
              </w:rPr>
            </w:pPr>
            <w:r w:rsidRPr="0010194A">
              <w:rPr>
                <w:sz w:val="20"/>
                <w:szCs w:val="18"/>
                <w:lang w:val="en-GB"/>
              </w:rPr>
              <w:t>Option 2.2. enhanced legacy DU-based report (e.g., enhanced Rel-16 RIM)</w:t>
            </w:r>
          </w:p>
          <w:p w14:paraId="55232772" w14:textId="75E4F48A" w:rsidR="0039189F" w:rsidRPr="0010194A" w:rsidRDefault="00E82650" w:rsidP="0010194A">
            <w:pPr>
              <w:numPr>
                <w:ilvl w:val="2"/>
                <w:numId w:val="33"/>
              </w:numPr>
              <w:spacing w:before="240" w:after="0" w:line="240" w:lineRule="auto"/>
              <w:rPr>
                <w:rFonts w:cs="Arial"/>
                <w:sz w:val="20"/>
                <w:szCs w:val="18"/>
                <w:lang w:val="en-GB"/>
              </w:rPr>
            </w:pPr>
            <w:r w:rsidRPr="0010194A">
              <w:rPr>
                <w:sz w:val="20"/>
                <w:szCs w:val="18"/>
                <w:lang w:val="en-GB"/>
              </w:rPr>
              <w:t>Option 2.3. enhanced MT-based report (e.g., MT-based CLI, MT RRM measurements)</w:t>
            </w:r>
          </w:p>
          <w:p w14:paraId="3608EA3B" w14:textId="77777777" w:rsidR="001B36A3" w:rsidRPr="0010194A" w:rsidRDefault="001B36A3" w:rsidP="001B36A3">
            <w:pPr>
              <w:spacing w:before="240"/>
              <w:rPr>
                <w:rFonts w:cs="Arial"/>
                <w:b/>
                <w:bCs/>
                <w:sz w:val="20"/>
                <w:szCs w:val="18"/>
                <w:lang w:val="en-GB" w:eastAsia="ja-JP"/>
              </w:rPr>
            </w:pPr>
            <w:r w:rsidRPr="0010194A">
              <w:rPr>
                <w:rFonts w:cs="Arial"/>
                <w:b/>
                <w:bCs/>
                <w:sz w:val="20"/>
                <w:szCs w:val="18"/>
                <w:highlight w:val="green"/>
                <w:lang w:val="en-GB" w:eastAsia="ja-JP"/>
              </w:rPr>
              <w:t>Agreement</w:t>
            </w:r>
          </w:p>
          <w:p w14:paraId="7AEDA718" w14:textId="77777777" w:rsidR="00E02971" w:rsidRPr="0010194A" w:rsidRDefault="00E02971" w:rsidP="00E02971">
            <w:pPr>
              <w:rPr>
                <w:sz w:val="20"/>
                <w:szCs w:val="18"/>
                <w:lang w:val="en-GB"/>
              </w:rPr>
            </w:pPr>
            <w:r w:rsidRPr="0010194A">
              <w:rPr>
                <w:sz w:val="20"/>
                <w:szCs w:val="18"/>
                <w:lang w:val="en-GB"/>
              </w:rPr>
              <w:t>RAN1 to decide whether to enhance interference mitigation through information exchange to support beam-management at the parent or child node in RAN1#104bis-e</w:t>
            </w:r>
          </w:p>
          <w:p w14:paraId="0A3031F1" w14:textId="77777777" w:rsidR="00E82650" w:rsidRPr="0010194A" w:rsidRDefault="00E82650" w:rsidP="00E02971">
            <w:pPr>
              <w:numPr>
                <w:ilvl w:val="1"/>
                <w:numId w:val="34"/>
              </w:numPr>
              <w:rPr>
                <w:sz w:val="20"/>
                <w:szCs w:val="18"/>
                <w:lang w:val="en-GB"/>
              </w:rPr>
            </w:pPr>
            <w:r w:rsidRPr="0010194A">
              <w:rPr>
                <w:sz w:val="20"/>
                <w:szCs w:val="18"/>
                <w:lang w:val="en-GB"/>
              </w:rPr>
              <w:t>FFS: reporting of desired beams for reception in DL or desired beams for transmission in UL by the IAB node for a given multiplexing mode</w:t>
            </w:r>
          </w:p>
          <w:p w14:paraId="70273129" w14:textId="2404B0C4" w:rsidR="004D74BA" w:rsidRPr="0010194A" w:rsidRDefault="00E82650" w:rsidP="008D362F">
            <w:pPr>
              <w:numPr>
                <w:ilvl w:val="1"/>
                <w:numId w:val="34"/>
              </w:numPr>
              <w:rPr>
                <w:sz w:val="20"/>
                <w:szCs w:val="18"/>
                <w:lang w:val="en-GB"/>
              </w:rPr>
            </w:pPr>
            <w:r w:rsidRPr="0010194A">
              <w:rPr>
                <w:sz w:val="20"/>
                <w:szCs w:val="18"/>
                <w:lang w:val="en-GB"/>
              </w:rPr>
              <w:t>FFS: indicating applicable beams in DL or beams in UL for a given multiplexing mode.</w:t>
            </w:r>
          </w:p>
        </w:tc>
      </w:tr>
    </w:tbl>
    <w:p w14:paraId="454E5A72" w14:textId="64AD92BD" w:rsidR="00646CE9" w:rsidRPr="00D73593" w:rsidRDefault="00646CE9" w:rsidP="00646CE9">
      <w:pPr>
        <w:spacing w:before="240"/>
        <w:rPr>
          <w:lang w:val="en-GB" w:eastAsia="ja-JP"/>
        </w:rPr>
      </w:pPr>
      <w:r w:rsidRPr="00D73593">
        <w:rPr>
          <w:rFonts w:cs="Arial"/>
          <w:lang w:val="en-GB"/>
        </w:rPr>
        <w:lastRenderedPageBreak/>
        <w:t>In RAN1 #10</w:t>
      </w:r>
      <w:r w:rsidR="008E0FD2">
        <w:rPr>
          <w:rFonts w:cs="Arial"/>
          <w:lang w:val="en-GB"/>
        </w:rPr>
        <w:t>4</w:t>
      </w:r>
      <w:r w:rsidRPr="00D73593">
        <w:rPr>
          <w:rFonts w:cs="Arial"/>
          <w:lang w:val="en-GB"/>
        </w:rPr>
        <w:t>-e, following agreements were made regarding power control</w:t>
      </w:r>
      <w:r w:rsidR="003715B2">
        <w:rPr>
          <w:rFonts w:cs="Arial"/>
          <w:lang w:val="en-GB"/>
        </w:rPr>
        <w:t xml:space="preserve"> </w:t>
      </w:r>
      <w:r w:rsidR="003715B2">
        <w:rPr>
          <w:rFonts w:cs="Arial"/>
          <w:lang w:val="en-GB"/>
        </w:rPr>
        <w:fldChar w:fldCharType="begin"/>
      </w:r>
      <w:r w:rsidR="003715B2">
        <w:rPr>
          <w:rFonts w:cs="Arial"/>
          <w:lang w:val="en-GB"/>
        </w:rPr>
        <w:instrText xml:space="preserve"> REF _Ref71550009 \w \h </w:instrText>
      </w:r>
      <w:r w:rsidR="003715B2">
        <w:rPr>
          <w:rFonts w:cs="Arial"/>
          <w:lang w:val="en-GB"/>
        </w:rPr>
      </w:r>
      <w:r w:rsidR="003715B2">
        <w:rPr>
          <w:rFonts w:cs="Arial"/>
          <w:lang w:val="en-GB"/>
        </w:rPr>
        <w:fldChar w:fldCharType="separate"/>
      </w:r>
      <w:r w:rsidR="000E3397">
        <w:rPr>
          <w:rFonts w:cs="Arial"/>
          <w:lang w:val="en-GB"/>
        </w:rPr>
        <w:t>[2]</w:t>
      </w:r>
      <w:r w:rsidR="003715B2">
        <w:rPr>
          <w:rFonts w:cs="Arial"/>
          <w:lang w:val="en-GB"/>
        </w:rPr>
        <w:fldChar w:fldCharType="end"/>
      </w:r>
      <w:r w:rsidR="003715B2">
        <w:rPr>
          <w:rFonts w:cs="Arial"/>
          <w:lang w:val="en-GB"/>
        </w:rPr>
        <w:t>:</w:t>
      </w:r>
    </w:p>
    <w:tbl>
      <w:tblPr>
        <w:tblStyle w:val="TableGrid"/>
        <w:tblW w:w="0" w:type="auto"/>
        <w:tblLook w:val="04A0" w:firstRow="1" w:lastRow="0" w:firstColumn="1" w:lastColumn="0" w:noHBand="0" w:noVBand="1"/>
      </w:tblPr>
      <w:tblGrid>
        <w:gridCol w:w="9629"/>
      </w:tblGrid>
      <w:tr w:rsidR="00646CE9" w:rsidRPr="0010194A" w14:paraId="3E3DE699" w14:textId="77777777" w:rsidTr="003F6658">
        <w:tc>
          <w:tcPr>
            <w:tcW w:w="9629" w:type="dxa"/>
          </w:tcPr>
          <w:p w14:paraId="69F0A54C" w14:textId="77777777" w:rsidR="00646CE9" w:rsidRPr="0010194A" w:rsidRDefault="00646CE9" w:rsidP="003F6658">
            <w:pPr>
              <w:spacing w:before="240"/>
              <w:rPr>
                <w:rFonts w:cs="Arial"/>
                <w:b/>
                <w:bCs/>
                <w:sz w:val="20"/>
                <w:szCs w:val="20"/>
                <w:lang w:val="en-GB" w:eastAsia="ja-JP"/>
              </w:rPr>
            </w:pPr>
            <w:r w:rsidRPr="0010194A">
              <w:rPr>
                <w:rFonts w:cs="Arial"/>
                <w:b/>
                <w:bCs/>
                <w:sz w:val="20"/>
                <w:szCs w:val="20"/>
                <w:highlight w:val="green"/>
                <w:lang w:val="en-GB" w:eastAsia="ja-JP"/>
              </w:rPr>
              <w:t>Agreement</w:t>
            </w:r>
          </w:p>
          <w:p w14:paraId="780C3CB6" w14:textId="77777777" w:rsidR="00646CE9" w:rsidRPr="0010194A" w:rsidRDefault="00646CE9" w:rsidP="003F6658">
            <w:pPr>
              <w:spacing w:after="0"/>
              <w:rPr>
                <w:rFonts w:cs="Arial"/>
                <w:sz w:val="20"/>
                <w:szCs w:val="20"/>
                <w:lang w:val="en-GB" w:eastAsia="ja-JP"/>
              </w:rPr>
            </w:pPr>
            <w:r w:rsidRPr="0010194A">
              <w:rPr>
                <w:rFonts w:cs="Arial"/>
                <w:sz w:val="20"/>
                <w:szCs w:val="20"/>
                <w:lang w:val="en-GB" w:eastAsia="ja-JP"/>
              </w:rPr>
              <w:t>RAN1 to further study whether the legacy UL power control mechanism (including PHR) is sufficient for an IAB-node operating in an enhanced multiplexing mode.</w:t>
            </w:r>
          </w:p>
          <w:p w14:paraId="02297C02" w14:textId="2B37001E" w:rsidR="00646CE9" w:rsidRPr="0010194A" w:rsidRDefault="00646CE9" w:rsidP="00646CE9">
            <w:pPr>
              <w:pStyle w:val="ListParagraph"/>
              <w:numPr>
                <w:ilvl w:val="0"/>
                <w:numId w:val="31"/>
              </w:numPr>
              <w:rPr>
                <w:rFonts w:ascii="Arial" w:hAnsi="Arial" w:cs="Arial"/>
                <w:sz w:val="20"/>
                <w:szCs w:val="20"/>
                <w:lang w:val="en-GB" w:eastAsia="ja-JP"/>
              </w:rPr>
            </w:pPr>
            <w:r w:rsidRPr="0010194A">
              <w:rPr>
                <w:rFonts w:ascii="Arial" w:hAnsi="Arial" w:cs="Arial"/>
                <w:sz w:val="20"/>
                <w:szCs w:val="20"/>
                <w:lang w:val="en-GB" w:eastAsia="ja-JP"/>
              </w:rPr>
              <w:t>FFS: if not (i.e., the legacy mechanism is not sufficient), support an IAB-node indicating information to assist with its UL power control.</w:t>
            </w:r>
          </w:p>
          <w:p w14:paraId="0C8714D3" w14:textId="77777777" w:rsidR="00646CE9" w:rsidRPr="0010194A" w:rsidRDefault="00646CE9" w:rsidP="003F6658">
            <w:pPr>
              <w:spacing w:before="240"/>
              <w:rPr>
                <w:rFonts w:cs="Arial"/>
                <w:b/>
                <w:bCs/>
                <w:sz w:val="20"/>
                <w:szCs w:val="20"/>
                <w:lang w:val="en-GB" w:eastAsia="ja-JP"/>
              </w:rPr>
            </w:pPr>
            <w:r w:rsidRPr="0010194A">
              <w:rPr>
                <w:rFonts w:cs="Arial"/>
                <w:b/>
                <w:bCs/>
                <w:sz w:val="20"/>
                <w:szCs w:val="20"/>
                <w:highlight w:val="green"/>
                <w:lang w:val="en-GB" w:eastAsia="ja-JP"/>
              </w:rPr>
              <w:t>Agreement</w:t>
            </w:r>
          </w:p>
          <w:p w14:paraId="25D009F0" w14:textId="77777777" w:rsidR="00646CE9" w:rsidRPr="0010194A" w:rsidRDefault="00646CE9" w:rsidP="003F6658">
            <w:pPr>
              <w:spacing w:after="0"/>
              <w:rPr>
                <w:rFonts w:cs="Arial"/>
                <w:sz w:val="20"/>
                <w:szCs w:val="20"/>
                <w:lang w:val="en-GB" w:eastAsia="ja-JP"/>
              </w:rPr>
            </w:pPr>
            <w:r w:rsidRPr="0010194A">
              <w:rPr>
                <w:rFonts w:cs="Arial"/>
                <w:sz w:val="20"/>
                <w:szCs w:val="20"/>
                <w:lang w:val="en-GB" w:eastAsia="ja-JP"/>
              </w:rPr>
              <w:t>Support an IAB-node indicating information to assist with the DL power control of its parent-node towards the IAB-node without mandating an expected behaviour at the parent node.</w:t>
            </w:r>
          </w:p>
          <w:p w14:paraId="16CACDB1" w14:textId="77777777" w:rsidR="00646CE9" w:rsidRPr="0010194A" w:rsidRDefault="00646CE9" w:rsidP="003F6658">
            <w:pPr>
              <w:pStyle w:val="ListParagraph"/>
              <w:numPr>
                <w:ilvl w:val="0"/>
                <w:numId w:val="31"/>
              </w:numPr>
              <w:rPr>
                <w:rFonts w:ascii="Arial" w:hAnsi="Arial" w:cs="Arial"/>
                <w:sz w:val="20"/>
                <w:szCs w:val="20"/>
                <w:lang w:val="en-GB" w:eastAsia="ja-JP"/>
              </w:rPr>
            </w:pPr>
            <w:r w:rsidRPr="0010194A">
              <w:rPr>
                <w:rFonts w:ascii="Arial" w:hAnsi="Arial" w:cs="Arial"/>
                <w:sz w:val="20"/>
                <w:szCs w:val="20"/>
                <w:lang w:val="en-GB" w:eastAsia="ja-JP"/>
              </w:rPr>
              <w:t>Note: At least the assistance information is for supporting the simultaneous operation within the IAB-node to avoid power imbalance</w:t>
            </w:r>
          </w:p>
          <w:p w14:paraId="29780A3C" w14:textId="77777777" w:rsidR="00646CE9" w:rsidRPr="0010194A" w:rsidRDefault="00646CE9" w:rsidP="003F6658">
            <w:pPr>
              <w:pStyle w:val="ListParagraph"/>
              <w:numPr>
                <w:ilvl w:val="0"/>
                <w:numId w:val="31"/>
              </w:numPr>
              <w:rPr>
                <w:rFonts w:ascii="Arial" w:hAnsi="Arial" w:cs="Arial"/>
                <w:sz w:val="20"/>
                <w:szCs w:val="20"/>
                <w:lang w:val="en-GB" w:eastAsia="ja-JP"/>
              </w:rPr>
            </w:pPr>
            <w:r w:rsidRPr="0010194A">
              <w:rPr>
                <w:rFonts w:ascii="Arial" w:hAnsi="Arial" w:cs="Arial"/>
                <w:sz w:val="20"/>
                <w:szCs w:val="20"/>
                <w:lang w:val="en-GB" w:eastAsia="ja-JP"/>
              </w:rPr>
              <w:t>FFS: type of assistance information (e.g., desired received power, power adjustment, preferred CSI-RS resource)</w:t>
            </w:r>
          </w:p>
          <w:p w14:paraId="31BDF9FA" w14:textId="77777777" w:rsidR="00646CE9" w:rsidRPr="0010194A" w:rsidRDefault="00646CE9" w:rsidP="003F6658">
            <w:pPr>
              <w:pStyle w:val="ListParagraph"/>
              <w:numPr>
                <w:ilvl w:val="0"/>
                <w:numId w:val="31"/>
              </w:numPr>
              <w:rPr>
                <w:rFonts w:ascii="Arial" w:hAnsi="Arial" w:cs="Arial"/>
                <w:sz w:val="20"/>
                <w:szCs w:val="20"/>
                <w:lang w:val="en-GB" w:eastAsia="ja-JP"/>
              </w:rPr>
            </w:pPr>
            <w:r w:rsidRPr="0010194A">
              <w:rPr>
                <w:rFonts w:ascii="Arial" w:hAnsi="Arial" w:cs="Arial"/>
                <w:sz w:val="20"/>
                <w:szCs w:val="20"/>
                <w:lang w:val="en-GB" w:eastAsia="ja-JP"/>
              </w:rPr>
              <w:t>FFS: whether this information is provided to the parent-node, the CU, or both.</w:t>
            </w:r>
          </w:p>
          <w:p w14:paraId="2373F04F" w14:textId="77777777" w:rsidR="00646CE9" w:rsidRPr="0010194A" w:rsidRDefault="00646CE9" w:rsidP="00646CE9">
            <w:pPr>
              <w:pStyle w:val="ListParagraph"/>
              <w:numPr>
                <w:ilvl w:val="0"/>
                <w:numId w:val="31"/>
              </w:numPr>
              <w:rPr>
                <w:rFonts w:ascii="Arial" w:hAnsi="Arial" w:cs="Arial"/>
                <w:sz w:val="20"/>
                <w:szCs w:val="20"/>
                <w:lang w:val="en-GB" w:eastAsia="ja-JP"/>
              </w:rPr>
            </w:pPr>
            <w:r w:rsidRPr="0010194A">
              <w:rPr>
                <w:rFonts w:ascii="Arial" w:hAnsi="Arial" w:cs="Arial"/>
                <w:sz w:val="20"/>
                <w:szCs w:val="20"/>
                <w:lang w:val="en-GB" w:eastAsia="ja-JP"/>
              </w:rPr>
              <w:t>FFS: applicability of the assistance information (e.g. relation to beams or multiplexing modes)</w:t>
            </w:r>
          </w:p>
          <w:p w14:paraId="12BB8083" w14:textId="72B1A0D5" w:rsidR="00646CE9" w:rsidRPr="0010194A" w:rsidRDefault="00646CE9" w:rsidP="006A6CF1">
            <w:pPr>
              <w:pStyle w:val="ListParagraph"/>
              <w:numPr>
                <w:ilvl w:val="0"/>
                <w:numId w:val="31"/>
              </w:numPr>
              <w:spacing w:after="240"/>
              <w:rPr>
                <w:sz w:val="20"/>
                <w:szCs w:val="20"/>
                <w:lang w:val="en-GB" w:eastAsia="ja-JP"/>
              </w:rPr>
            </w:pPr>
            <w:r w:rsidRPr="0010194A">
              <w:rPr>
                <w:rFonts w:ascii="Arial" w:hAnsi="Arial" w:cs="Arial"/>
                <w:sz w:val="20"/>
                <w:szCs w:val="20"/>
                <w:lang w:val="en-GB" w:eastAsia="ja-JP"/>
              </w:rPr>
              <w:t>FFS: the channel carrying this assistance information</w:t>
            </w:r>
          </w:p>
        </w:tc>
      </w:tr>
    </w:tbl>
    <w:p w14:paraId="1090B7DC" w14:textId="3591B3F5" w:rsidR="00477768" w:rsidRPr="00973EFA" w:rsidRDefault="00646CE9" w:rsidP="00973EFA">
      <w:pPr>
        <w:spacing w:before="240"/>
        <w:rPr>
          <w:rFonts w:cs="Arial"/>
          <w:lang w:val="en-GB" w:eastAsia="ja-JP"/>
        </w:rPr>
      </w:pPr>
      <w:r w:rsidRPr="00D73593">
        <w:rPr>
          <w:rFonts w:cs="Arial"/>
          <w:lang w:val="en-GB" w:eastAsia="ja-JP"/>
        </w:rPr>
        <w:t xml:space="preserve">In this document we present our views on </w:t>
      </w:r>
      <w:r w:rsidR="00D7753A">
        <w:rPr>
          <w:rFonts w:cs="Arial"/>
          <w:lang w:val="en-GB" w:eastAsia="ja-JP"/>
        </w:rPr>
        <w:t>OTA and GNSS based synchronization options and possible enhancements</w:t>
      </w:r>
      <w:r w:rsidR="00702F00">
        <w:rPr>
          <w:rFonts w:cs="Arial"/>
          <w:lang w:val="en-GB" w:eastAsia="ja-JP"/>
        </w:rPr>
        <w:t>, on</w:t>
      </w:r>
      <w:r w:rsidR="00207B90">
        <w:rPr>
          <w:rFonts w:cs="Arial"/>
          <w:lang w:val="en-GB" w:eastAsia="ja-JP"/>
        </w:rPr>
        <w:t xml:space="preserve"> </w:t>
      </w:r>
      <w:r w:rsidR="000D1426">
        <w:rPr>
          <w:rFonts w:cs="Arial"/>
          <w:lang w:val="en-GB" w:eastAsia="ja-JP"/>
        </w:rPr>
        <w:t xml:space="preserve">interference management </w:t>
      </w:r>
      <w:r w:rsidR="00702F00">
        <w:rPr>
          <w:rFonts w:cs="Arial"/>
          <w:lang w:val="en-GB" w:eastAsia="ja-JP"/>
        </w:rPr>
        <w:t>for Local- and Wide-Area</w:t>
      </w:r>
      <w:r w:rsidR="00207B90">
        <w:rPr>
          <w:rFonts w:cs="Arial"/>
          <w:lang w:val="en-GB" w:eastAsia="ja-JP"/>
        </w:rPr>
        <w:t xml:space="preserve"> IAB node types </w:t>
      </w:r>
      <w:r w:rsidR="00623EC2">
        <w:rPr>
          <w:rFonts w:cs="Arial"/>
          <w:lang w:val="en-GB" w:eastAsia="ja-JP"/>
        </w:rPr>
        <w:t>and improvements in power control for simultaneous operation</w:t>
      </w:r>
      <w:r w:rsidR="00F576BD">
        <w:rPr>
          <w:rFonts w:cs="Arial"/>
          <w:lang w:val="en-GB" w:eastAsia="ja-JP"/>
        </w:rPr>
        <w:t>.</w:t>
      </w:r>
      <w:r w:rsidR="00973EFA">
        <w:rPr>
          <w:rFonts w:cs="Arial"/>
          <w:lang w:val="en-GB" w:eastAsia="ja-JP"/>
        </w:rPr>
        <w:t xml:space="preserve"> We present our views on resource multiplexing and dual connectivity in our accompanying contribution</w:t>
      </w:r>
      <w:r w:rsidR="00AD5C82">
        <w:rPr>
          <w:rFonts w:cs="Arial"/>
          <w:lang w:val="en-GB" w:eastAsia="ja-JP"/>
        </w:rPr>
        <w:t xml:space="preserve"> </w:t>
      </w:r>
      <w:r w:rsidR="00AD5C82">
        <w:rPr>
          <w:rFonts w:cs="Arial"/>
          <w:lang w:val="en-GB" w:eastAsia="ja-JP"/>
        </w:rPr>
        <w:fldChar w:fldCharType="begin"/>
      </w:r>
      <w:r w:rsidR="00AD5C82">
        <w:rPr>
          <w:rFonts w:cs="Arial"/>
          <w:lang w:val="en-GB" w:eastAsia="ja-JP"/>
        </w:rPr>
        <w:instrText xml:space="preserve"> REF _Ref71648311 \r \h </w:instrText>
      </w:r>
      <w:r w:rsidR="00AD5C82">
        <w:rPr>
          <w:rFonts w:cs="Arial"/>
          <w:lang w:val="en-GB" w:eastAsia="ja-JP"/>
        </w:rPr>
      </w:r>
      <w:r w:rsidR="00AD5C82">
        <w:rPr>
          <w:rFonts w:cs="Arial"/>
          <w:lang w:val="en-GB" w:eastAsia="ja-JP"/>
        </w:rPr>
        <w:fldChar w:fldCharType="separate"/>
      </w:r>
      <w:r w:rsidR="000E3397">
        <w:rPr>
          <w:rFonts w:cs="Arial"/>
          <w:lang w:val="en-GB" w:eastAsia="ja-JP"/>
        </w:rPr>
        <w:t>[3]</w:t>
      </w:r>
      <w:r w:rsidR="00AD5C82">
        <w:rPr>
          <w:rFonts w:cs="Arial"/>
          <w:lang w:val="en-GB" w:eastAsia="ja-JP"/>
        </w:rPr>
        <w:fldChar w:fldCharType="end"/>
      </w:r>
      <w:r w:rsidR="00973EFA">
        <w:rPr>
          <w:rFonts w:cs="Arial"/>
          <w:lang w:val="en-GB" w:eastAsia="ja-JP"/>
        </w:rPr>
        <w:t>.</w:t>
      </w:r>
    </w:p>
    <w:p w14:paraId="1AEA2AF9" w14:textId="77777777" w:rsidR="004000E8" w:rsidRPr="00CE0424" w:rsidRDefault="00850C37" w:rsidP="00CE0424">
      <w:pPr>
        <w:pStyle w:val="Heading1"/>
      </w:pPr>
      <w:bookmarkStart w:id="0" w:name="_Ref178064866"/>
      <w:r>
        <w:lastRenderedPageBreak/>
        <w:t>Timing</w:t>
      </w:r>
      <w:bookmarkEnd w:id="0"/>
    </w:p>
    <w:p w14:paraId="503F0E40" w14:textId="450A7F55" w:rsidR="00D35329" w:rsidRPr="00D35329" w:rsidRDefault="00D35329" w:rsidP="00D35329">
      <w:pPr>
        <w:pStyle w:val="Heading2"/>
      </w:pPr>
      <w:r>
        <w:t>OTA based synchronization</w:t>
      </w:r>
    </w:p>
    <w:p w14:paraId="4A468FA5" w14:textId="0240EBFE" w:rsidR="004068C8" w:rsidRDefault="00DE2C16" w:rsidP="003236FD">
      <w:pPr>
        <w:jc w:val="both"/>
        <w:rPr>
          <w:rFonts w:cs="Arial"/>
          <w:lang w:val="en-GB" w:eastAsia="ja-JP"/>
        </w:rPr>
      </w:pPr>
      <w:r>
        <w:rPr>
          <w:rFonts w:cs="Arial"/>
          <w:lang w:val="en-GB" w:eastAsia="ja-JP"/>
        </w:rPr>
        <w:t>3GPP has specified mechanisms to synchronize DL transmission timing of an IAB-node over-the-air</w:t>
      </w:r>
      <w:r w:rsidR="00830D2E">
        <w:rPr>
          <w:rFonts w:cs="Arial"/>
          <w:lang w:val="en-GB" w:eastAsia="ja-JP"/>
        </w:rPr>
        <w:t xml:space="preserve"> (OTA)</w:t>
      </w:r>
      <w:r>
        <w:rPr>
          <w:rFonts w:cs="Arial"/>
          <w:lang w:val="en-GB" w:eastAsia="ja-JP"/>
        </w:rPr>
        <w:t xml:space="preserve">, based on information on </w:t>
      </w:r>
      <w:r w:rsidR="00D672DE">
        <w:rPr>
          <w:rFonts w:cs="Arial"/>
          <w:lang w:val="en-GB" w:eastAsia="ja-JP"/>
        </w:rPr>
        <w:t xml:space="preserve">the </w:t>
      </w:r>
      <w:r>
        <w:rPr>
          <w:rFonts w:cs="Arial"/>
          <w:lang w:val="en-GB" w:eastAsia="ja-JP"/>
        </w:rPr>
        <w:t>parent node</w:t>
      </w:r>
      <w:r w:rsidR="00D672DE">
        <w:rPr>
          <w:rFonts w:cs="Arial"/>
          <w:lang w:val="en-GB" w:eastAsia="ja-JP"/>
        </w:rPr>
        <w:t>’s</w:t>
      </w:r>
      <w:r>
        <w:rPr>
          <w:rFonts w:cs="Arial"/>
          <w:lang w:val="en-GB" w:eastAsia="ja-JP"/>
        </w:rPr>
        <w:t xml:space="preserve"> </w:t>
      </w:r>
      <w:r w:rsidR="003A6109">
        <w:rPr>
          <w:rFonts w:cs="Arial"/>
          <w:lang w:val="en-GB" w:eastAsia="ja-JP"/>
        </w:rPr>
        <w:t>side about its</w:t>
      </w:r>
      <w:r>
        <w:rPr>
          <w:rFonts w:cs="Arial"/>
          <w:lang w:val="en-GB" w:eastAsia="ja-JP"/>
        </w:rPr>
        <w:t xml:space="preserve"> timing setting/determination and timing determination on </w:t>
      </w:r>
      <w:r w:rsidR="00D672DE">
        <w:rPr>
          <w:rFonts w:cs="Arial"/>
          <w:lang w:val="en-GB" w:eastAsia="ja-JP"/>
        </w:rPr>
        <w:t xml:space="preserve">the </w:t>
      </w:r>
      <w:r>
        <w:rPr>
          <w:rFonts w:cs="Arial"/>
          <w:lang w:val="en-GB" w:eastAsia="ja-JP"/>
        </w:rPr>
        <w:t>IAB-node</w:t>
      </w:r>
      <w:r w:rsidR="00D672DE">
        <w:rPr>
          <w:rFonts w:cs="Arial"/>
          <w:lang w:val="en-GB" w:eastAsia="ja-JP"/>
        </w:rPr>
        <w:t>’s</w:t>
      </w:r>
      <w:r>
        <w:rPr>
          <w:rFonts w:cs="Arial"/>
          <w:lang w:val="en-GB" w:eastAsia="ja-JP"/>
        </w:rPr>
        <w:t xml:space="preserve"> side.</w:t>
      </w:r>
      <w:r w:rsidR="00C454EB">
        <w:rPr>
          <w:rFonts w:cs="Arial"/>
          <w:lang w:val="en-GB" w:eastAsia="ja-JP"/>
        </w:rPr>
        <w:t xml:space="preserve"> The parent node provides information about its relation of UL reception timing relative to its DL transmission timing in form of signalling </w:t>
      </w:r>
      <w:proofErr w:type="spellStart"/>
      <w:r w:rsidR="00C454EB">
        <w:rPr>
          <w:rFonts w:cs="Arial"/>
          <w:lang w:val="en-GB" w:eastAsia="ja-JP"/>
        </w:rPr>
        <w:t>T_delta</w:t>
      </w:r>
      <w:proofErr w:type="spellEnd"/>
      <w:r w:rsidR="00D73593">
        <w:rPr>
          <w:rFonts w:cs="Arial"/>
          <w:lang w:val="en-GB" w:eastAsia="ja-JP"/>
        </w:rPr>
        <w:t>,</w:t>
      </w:r>
      <w:r w:rsidR="00C454EB" w:rsidRPr="00D73593">
        <w:rPr>
          <w:rFonts w:cs="Arial"/>
          <w:lang w:val="en-GB" w:eastAsia="ja-JP"/>
        </w:rPr>
        <w:t xml:space="preserve"> </w:t>
      </w:r>
      <w:r w:rsidR="00C454EB">
        <w:rPr>
          <w:rFonts w:cs="Arial"/>
          <w:lang w:val="en-GB" w:eastAsia="ja-JP"/>
        </w:rPr>
        <w:t>TS 38.213</w:t>
      </w:r>
      <w:r w:rsidR="00D73593">
        <w:rPr>
          <w:rFonts w:cs="Arial"/>
          <w:lang w:val="en-GB" w:eastAsia="ja-JP"/>
        </w:rPr>
        <w:t xml:space="preserve"> </w:t>
      </w:r>
      <w:r w:rsidR="006A7DF7">
        <w:rPr>
          <w:rFonts w:cs="Arial"/>
          <w:lang w:val="en-GB" w:eastAsia="ja-JP"/>
        </w:rPr>
        <w:fldChar w:fldCharType="begin"/>
      </w:r>
      <w:r w:rsidR="006A7DF7">
        <w:rPr>
          <w:rFonts w:cs="Arial"/>
          <w:lang w:val="en-GB" w:eastAsia="ja-JP"/>
        </w:rPr>
        <w:instrText xml:space="preserve"> REF _Ref71576254 \w \h </w:instrText>
      </w:r>
      <w:r w:rsidR="006A7DF7">
        <w:rPr>
          <w:rFonts w:cs="Arial"/>
          <w:lang w:val="en-GB" w:eastAsia="ja-JP"/>
        </w:rPr>
      </w:r>
      <w:r w:rsidR="006A7DF7">
        <w:rPr>
          <w:rFonts w:cs="Arial"/>
          <w:lang w:val="en-GB" w:eastAsia="ja-JP"/>
        </w:rPr>
        <w:fldChar w:fldCharType="separate"/>
      </w:r>
      <w:r w:rsidR="000E3397">
        <w:rPr>
          <w:rFonts w:cs="Arial"/>
          <w:lang w:val="en-GB" w:eastAsia="ja-JP"/>
        </w:rPr>
        <w:t>[4]</w:t>
      </w:r>
      <w:r w:rsidR="006A7DF7">
        <w:rPr>
          <w:rFonts w:cs="Arial"/>
          <w:lang w:val="en-GB" w:eastAsia="ja-JP"/>
        </w:rPr>
        <w:fldChar w:fldCharType="end"/>
      </w:r>
      <w:r w:rsidR="00C454EB" w:rsidRPr="00D73593">
        <w:rPr>
          <w:rFonts w:cs="Arial"/>
          <w:lang w:val="en-GB" w:eastAsia="ja-JP"/>
        </w:rPr>
        <w:t>.</w:t>
      </w:r>
      <w:r w:rsidR="00C454EB">
        <w:rPr>
          <w:rFonts w:cs="Arial"/>
          <w:lang w:val="en-GB" w:eastAsia="ja-JP"/>
        </w:rPr>
        <w:t xml:space="preserve"> </w:t>
      </w:r>
      <w:r w:rsidR="00FC35BA">
        <w:rPr>
          <w:rFonts w:cs="Arial"/>
          <w:lang w:val="en-GB" w:eastAsia="ja-JP"/>
        </w:rPr>
        <w:t xml:space="preserve">The IAB-node itself can determine its relation of </w:t>
      </w:r>
      <w:r w:rsidR="008E0F4E">
        <w:rPr>
          <w:rFonts w:cs="Arial"/>
          <w:lang w:val="en-GB" w:eastAsia="ja-JP"/>
        </w:rPr>
        <w:t xml:space="preserve">UL transmission and DL reception timing (i.e., the IAB-node’s current timing advance (TA) setting). Only by knowing both TA and </w:t>
      </w:r>
      <w:proofErr w:type="spellStart"/>
      <w:r w:rsidR="008E0F4E">
        <w:rPr>
          <w:rFonts w:cs="Arial"/>
          <w:lang w:val="en-GB" w:eastAsia="ja-JP"/>
        </w:rPr>
        <w:t>T_delta</w:t>
      </w:r>
      <w:proofErr w:type="spellEnd"/>
      <w:r w:rsidR="008E0F4E">
        <w:rPr>
          <w:rFonts w:cs="Arial"/>
          <w:lang w:val="en-GB" w:eastAsia="ja-JP"/>
        </w:rPr>
        <w:t xml:space="preserve">, the IAB-node </w:t>
      </w:r>
      <w:r w:rsidR="00BE2AB0">
        <w:rPr>
          <w:rFonts w:cs="Arial"/>
          <w:lang w:val="en-GB" w:eastAsia="ja-JP"/>
        </w:rPr>
        <w:t>can</w:t>
      </w:r>
      <w:r w:rsidR="008E0F4E">
        <w:rPr>
          <w:rFonts w:cs="Arial"/>
          <w:lang w:val="en-GB" w:eastAsia="ja-JP"/>
        </w:rPr>
        <w:t xml:space="preserve"> estimate the propagation delay between parent and IAB-node.</w:t>
      </w:r>
      <w:r w:rsidR="00BE2AB0">
        <w:rPr>
          <w:rFonts w:cs="Arial"/>
          <w:lang w:val="en-GB" w:eastAsia="ja-JP"/>
        </w:rPr>
        <w:t xml:space="preserve"> </w:t>
      </w:r>
      <w:r w:rsidR="00C454EB">
        <w:rPr>
          <w:rFonts w:cs="Arial"/>
          <w:lang w:val="en-GB" w:eastAsia="ja-JP"/>
        </w:rPr>
        <w:t>Current</w:t>
      </w:r>
      <w:r w:rsidR="005C0B14">
        <w:rPr>
          <w:rFonts w:cs="Arial"/>
          <w:lang w:val="en-GB" w:eastAsia="ja-JP"/>
        </w:rPr>
        <w:t>ly, the</w:t>
      </w:r>
      <w:r w:rsidR="00C454EB">
        <w:rPr>
          <w:rFonts w:cs="Arial"/>
          <w:lang w:val="en-GB" w:eastAsia="ja-JP"/>
        </w:rPr>
        <w:t xml:space="preserve"> </w:t>
      </w:r>
      <w:r w:rsidR="005C0B14">
        <w:rPr>
          <w:rFonts w:cs="Arial"/>
          <w:lang w:val="en-GB" w:eastAsia="ja-JP"/>
        </w:rPr>
        <w:t xml:space="preserve">OTA </w:t>
      </w:r>
      <w:r w:rsidR="00C454EB">
        <w:rPr>
          <w:rFonts w:cs="Arial"/>
          <w:lang w:val="en-GB" w:eastAsia="ja-JP"/>
        </w:rPr>
        <w:t xml:space="preserve">specification </w:t>
      </w:r>
      <w:r w:rsidR="005C0B14">
        <w:rPr>
          <w:rFonts w:cs="Arial"/>
          <w:lang w:val="en-GB" w:eastAsia="ja-JP"/>
        </w:rPr>
        <w:t xml:space="preserve">of </w:t>
      </w:r>
      <w:proofErr w:type="spellStart"/>
      <w:r w:rsidR="005C0B14">
        <w:rPr>
          <w:rFonts w:cs="Arial"/>
          <w:lang w:val="en-GB" w:eastAsia="ja-JP"/>
        </w:rPr>
        <w:t>T_delta</w:t>
      </w:r>
      <w:proofErr w:type="spellEnd"/>
      <w:r w:rsidR="005C0B14">
        <w:rPr>
          <w:rFonts w:cs="Arial"/>
          <w:lang w:val="en-GB" w:eastAsia="ja-JP"/>
        </w:rPr>
        <w:t xml:space="preserve"> </w:t>
      </w:r>
      <w:r w:rsidR="00C454EB">
        <w:rPr>
          <w:rFonts w:cs="Arial"/>
          <w:lang w:val="en-GB" w:eastAsia="ja-JP"/>
        </w:rPr>
        <w:t>only addresses the timing configuration Case-1.</w:t>
      </w:r>
      <w:r w:rsidR="00BE2AB0">
        <w:rPr>
          <w:rFonts w:cs="Arial"/>
          <w:lang w:val="en-GB" w:eastAsia="ja-JP"/>
        </w:rPr>
        <w:t xml:space="preserve"> The provisioning of </w:t>
      </w:r>
      <w:proofErr w:type="spellStart"/>
      <w:r w:rsidR="00BE2AB0">
        <w:rPr>
          <w:rFonts w:cs="Arial"/>
          <w:lang w:val="en-GB" w:eastAsia="ja-JP"/>
        </w:rPr>
        <w:t>T_delta</w:t>
      </w:r>
      <w:proofErr w:type="spellEnd"/>
      <w:r w:rsidR="00BE2AB0">
        <w:rPr>
          <w:rFonts w:cs="Arial"/>
          <w:lang w:val="en-GB" w:eastAsia="ja-JP"/>
        </w:rPr>
        <w:t xml:space="preserve"> is required, as it is not guaranteed that an IAB-parent knows the actual TA of </w:t>
      </w:r>
      <w:r w:rsidR="00D672DE">
        <w:rPr>
          <w:rFonts w:cs="Arial"/>
          <w:lang w:val="en-GB" w:eastAsia="ja-JP"/>
        </w:rPr>
        <w:t xml:space="preserve">a </w:t>
      </w:r>
      <w:r w:rsidR="00BE2AB0">
        <w:rPr>
          <w:rFonts w:cs="Arial"/>
          <w:lang w:val="en-GB" w:eastAsia="ja-JP"/>
        </w:rPr>
        <w:t>descend</w:t>
      </w:r>
      <w:r w:rsidR="00AA44A3">
        <w:rPr>
          <w:rFonts w:cs="Arial"/>
          <w:lang w:val="en-GB" w:eastAsia="ja-JP"/>
        </w:rPr>
        <w:t>e</w:t>
      </w:r>
      <w:r w:rsidR="00BE2AB0">
        <w:rPr>
          <w:rFonts w:cs="Arial"/>
          <w:lang w:val="en-GB" w:eastAsia="ja-JP"/>
        </w:rPr>
        <w:t>nt IAB-node</w:t>
      </w:r>
      <w:r w:rsidR="00205EE3">
        <w:rPr>
          <w:rFonts w:cs="Arial"/>
          <w:lang w:val="en-GB" w:eastAsia="ja-JP"/>
        </w:rPr>
        <w:t xml:space="preserve">. TA is </w:t>
      </w:r>
      <w:r w:rsidR="004068C8">
        <w:rPr>
          <w:rFonts w:cs="Arial"/>
          <w:lang w:val="en-GB" w:eastAsia="ja-JP"/>
        </w:rPr>
        <w:t xml:space="preserve">controlled </w:t>
      </w:r>
      <w:r w:rsidR="00205EE3">
        <w:rPr>
          <w:rFonts w:cs="Arial"/>
          <w:lang w:val="en-GB" w:eastAsia="ja-JP"/>
        </w:rPr>
        <w:t>differential</w:t>
      </w:r>
      <w:r w:rsidR="004068C8">
        <w:rPr>
          <w:rFonts w:cs="Arial"/>
          <w:lang w:val="en-GB" w:eastAsia="ja-JP"/>
        </w:rPr>
        <w:t>ly</w:t>
      </w:r>
      <w:r w:rsidR="00205EE3">
        <w:rPr>
          <w:rFonts w:cs="Arial"/>
          <w:lang w:val="en-GB" w:eastAsia="ja-JP"/>
        </w:rPr>
        <w:t xml:space="preserve">; there is no absolute TA signalled by </w:t>
      </w:r>
      <w:r w:rsidR="004068C8">
        <w:rPr>
          <w:rFonts w:cs="Arial"/>
          <w:lang w:val="en-GB" w:eastAsia="ja-JP"/>
        </w:rPr>
        <w:t xml:space="preserve">a </w:t>
      </w:r>
      <w:r w:rsidR="00205EE3">
        <w:rPr>
          <w:rFonts w:cs="Arial"/>
          <w:lang w:val="en-GB" w:eastAsia="ja-JP"/>
        </w:rPr>
        <w:t>parent IAB-node</w:t>
      </w:r>
      <w:r w:rsidR="004068C8">
        <w:rPr>
          <w:rFonts w:cs="Arial"/>
          <w:lang w:val="en-GB" w:eastAsia="ja-JP"/>
        </w:rPr>
        <w:t xml:space="preserve"> (but during random access Msg2)</w:t>
      </w:r>
      <w:r w:rsidR="00BE2AB0">
        <w:rPr>
          <w:rFonts w:cs="Arial"/>
          <w:lang w:val="en-GB" w:eastAsia="ja-JP"/>
        </w:rPr>
        <w:t>.</w:t>
      </w:r>
    </w:p>
    <w:p w14:paraId="24AB0332" w14:textId="6C02BBE6" w:rsidR="004068C8" w:rsidRDefault="004068C8" w:rsidP="00074C07">
      <w:pPr>
        <w:pStyle w:val="Observation"/>
      </w:pPr>
      <w:bookmarkStart w:id="1" w:name="_Toc71663431"/>
      <w:r>
        <w:t>It is not guaranteed that an IAB-parent knows the actual TA of descendent IAB-node</w:t>
      </w:r>
      <w:r w:rsidR="00F754D5">
        <w:t>s</w:t>
      </w:r>
      <w:r>
        <w:t xml:space="preserve">. TA is not signalled in an absolute </w:t>
      </w:r>
      <w:r w:rsidR="00F754D5">
        <w:t>quantity, but it is provided differentially.</w:t>
      </w:r>
      <w:bookmarkEnd w:id="1"/>
    </w:p>
    <w:p w14:paraId="32C6A7E7" w14:textId="0308E5D6" w:rsidR="00C454EB" w:rsidRDefault="00BE2AB0" w:rsidP="003236FD">
      <w:pPr>
        <w:jc w:val="both"/>
        <w:rPr>
          <w:rFonts w:cs="Arial"/>
          <w:lang w:val="en-GB" w:eastAsia="ja-JP"/>
        </w:rPr>
      </w:pPr>
      <w:r>
        <w:rPr>
          <w:rFonts w:cs="Arial"/>
          <w:lang w:val="en-GB" w:eastAsia="ja-JP"/>
        </w:rPr>
        <w:t xml:space="preserve">If </w:t>
      </w:r>
      <w:r w:rsidR="00F754D5">
        <w:rPr>
          <w:rFonts w:cs="Arial"/>
          <w:lang w:val="en-GB" w:eastAsia="ja-JP"/>
        </w:rPr>
        <w:t>an IAB-parent would know the actual TA of descendent IAB-nodes</w:t>
      </w:r>
      <w:r>
        <w:rPr>
          <w:rFonts w:cs="Arial"/>
          <w:lang w:val="en-GB" w:eastAsia="ja-JP"/>
        </w:rPr>
        <w:t xml:space="preserve">, the parent node would not need to provide information </w:t>
      </w:r>
      <w:proofErr w:type="spellStart"/>
      <w:r>
        <w:rPr>
          <w:rFonts w:cs="Arial"/>
          <w:lang w:val="en-GB" w:eastAsia="ja-JP"/>
        </w:rPr>
        <w:t>T_delta</w:t>
      </w:r>
      <w:proofErr w:type="spellEnd"/>
      <w:r>
        <w:rPr>
          <w:rFonts w:cs="Arial"/>
          <w:lang w:val="en-GB" w:eastAsia="ja-JP"/>
        </w:rPr>
        <w:t xml:space="preserve"> (about its internal timing relations)</w:t>
      </w:r>
      <w:r w:rsidR="00F754D5">
        <w:rPr>
          <w:rFonts w:cs="Arial"/>
          <w:lang w:val="en-GB" w:eastAsia="ja-JP"/>
        </w:rPr>
        <w:t xml:space="preserve"> for the sake of estimating propagation delay to descendent IAB-nodes</w:t>
      </w:r>
      <w:r>
        <w:rPr>
          <w:rFonts w:cs="Arial"/>
          <w:lang w:val="en-GB" w:eastAsia="ja-JP"/>
        </w:rPr>
        <w:t>, but it could immediately provide information about the propagation delay.</w:t>
      </w:r>
    </w:p>
    <w:p w14:paraId="0765F9E5" w14:textId="7C42A3C3" w:rsidR="00F754D5" w:rsidRDefault="00F754D5" w:rsidP="00074C07">
      <w:pPr>
        <w:pStyle w:val="Observation"/>
      </w:pPr>
      <w:bookmarkStart w:id="2" w:name="_Toc71663432"/>
      <w:r>
        <w:t xml:space="preserve">A parent IAB-node does not necessarily know the propagation delay to </w:t>
      </w:r>
      <w:r w:rsidR="00952F3E">
        <w:t>descendent IAB-nodes.</w:t>
      </w:r>
      <w:bookmarkEnd w:id="2"/>
    </w:p>
    <w:p w14:paraId="56A0C926" w14:textId="0E965F52" w:rsidR="00830D2E" w:rsidRDefault="00C454EB" w:rsidP="003236FD">
      <w:pPr>
        <w:jc w:val="both"/>
        <w:rPr>
          <w:rFonts w:cs="Arial"/>
          <w:lang w:val="en-GB" w:eastAsia="ja-JP"/>
        </w:rPr>
      </w:pPr>
      <w:r>
        <w:rPr>
          <w:rFonts w:cs="Arial"/>
          <w:lang w:val="en-GB" w:eastAsia="ja-JP"/>
        </w:rPr>
        <w:t xml:space="preserve">In our RAN #103-e contribution </w:t>
      </w:r>
      <w:r w:rsidRPr="00C454EB">
        <w:rPr>
          <w:rFonts w:cs="Arial"/>
          <w:lang w:val="en-GB" w:eastAsia="ja-JP"/>
        </w:rPr>
        <w:t>R1-2101696</w:t>
      </w:r>
      <w:r w:rsidR="008E0FD2">
        <w:rPr>
          <w:rFonts w:cs="Arial"/>
          <w:lang w:val="en-GB" w:eastAsia="ja-JP"/>
        </w:rPr>
        <w:t xml:space="preserve"> </w:t>
      </w:r>
      <w:r w:rsidR="008E0FD2">
        <w:rPr>
          <w:rFonts w:cs="Arial"/>
          <w:lang w:val="en-GB" w:eastAsia="ja-JP"/>
        </w:rPr>
        <w:fldChar w:fldCharType="begin"/>
      </w:r>
      <w:r w:rsidR="008E0FD2">
        <w:rPr>
          <w:rFonts w:cs="Arial"/>
          <w:lang w:val="en-GB" w:eastAsia="ja-JP"/>
        </w:rPr>
        <w:instrText xml:space="preserve"> REF _Ref71549697 \w \h </w:instrText>
      </w:r>
      <w:r w:rsidR="008E0FD2">
        <w:rPr>
          <w:rFonts w:cs="Arial"/>
          <w:lang w:val="en-GB" w:eastAsia="ja-JP"/>
        </w:rPr>
      </w:r>
      <w:r w:rsidR="003236FD">
        <w:rPr>
          <w:rFonts w:cs="Arial"/>
          <w:lang w:val="en-GB" w:eastAsia="ja-JP"/>
        </w:rPr>
        <w:instrText xml:space="preserve"> \* MERGEFORMAT </w:instrText>
      </w:r>
      <w:r w:rsidR="008E0FD2">
        <w:rPr>
          <w:rFonts w:cs="Arial"/>
          <w:lang w:val="en-GB" w:eastAsia="ja-JP"/>
        </w:rPr>
        <w:fldChar w:fldCharType="separate"/>
      </w:r>
      <w:r w:rsidR="000E3397">
        <w:rPr>
          <w:rFonts w:cs="Arial"/>
          <w:lang w:val="en-GB" w:eastAsia="ja-JP"/>
        </w:rPr>
        <w:t>[5]</w:t>
      </w:r>
      <w:r w:rsidR="008E0FD2">
        <w:rPr>
          <w:rFonts w:cs="Arial"/>
          <w:lang w:val="en-GB" w:eastAsia="ja-JP"/>
        </w:rPr>
        <w:fldChar w:fldCharType="end"/>
      </w:r>
      <w:r w:rsidRPr="008E0FD2">
        <w:rPr>
          <w:rFonts w:cs="Arial"/>
          <w:lang w:val="en-GB" w:eastAsia="ja-JP"/>
        </w:rPr>
        <w:t>,</w:t>
      </w:r>
      <w:r>
        <w:rPr>
          <w:rFonts w:cs="Arial"/>
          <w:lang w:val="en-GB" w:eastAsia="ja-JP"/>
        </w:rPr>
        <w:t xml:space="preserve"> we explain</w:t>
      </w:r>
      <w:r w:rsidR="00D1772E">
        <w:rPr>
          <w:rFonts w:cs="Arial"/>
          <w:lang w:val="en-GB" w:eastAsia="ja-JP"/>
        </w:rPr>
        <w:t>ed</w:t>
      </w:r>
      <w:r>
        <w:rPr>
          <w:rFonts w:cs="Arial"/>
          <w:lang w:val="en-GB" w:eastAsia="ja-JP"/>
        </w:rPr>
        <w:t xml:space="preserve"> in detail what is needed for </w:t>
      </w:r>
      <w:proofErr w:type="spellStart"/>
      <w:r>
        <w:rPr>
          <w:rFonts w:cs="Arial"/>
          <w:lang w:val="en-GB" w:eastAsia="ja-JP"/>
        </w:rPr>
        <w:t>T_delta</w:t>
      </w:r>
      <w:proofErr w:type="spellEnd"/>
      <w:r>
        <w:rPr>
          <w:rFonts w:cs="Arial"/>
          <w:lang w:val="en-GB" w:eastAsia="ja-JP"/>
        </w:rPr>
        <w:t xml:space="preserve"> providing information </w:t>
      </w:r>
      <w:r w:rsidR="00830D2E">
        <w:rPr>
          <w:rFonts w:cs="Arial"/>
          <w:lang w:val="en-GB" w:eastAsia="ja-JP"/>
        </w:rPr>
        <w:t>for the IAB-node to set DL transmission timing</w:t>
      </w:r>
      <w:r w:rsidR="004155C7">
        <w:rPr>
          <w:rFonts w:cs="Arial"/>
          <w:lang w:val="en-GB" w:eastAsia="ja-JP"/>
        </w:rPr>
        <w:t>,</w:t>
      </w:r>
      <w:r w:rsidR="00830D2E">
        <w:rPr>
          <w:rFonts w:cs="Arial"/>
          <w:lang w:val="en-GB" w:eastAsia="ja-JP"/>
        </w:rPr>
        <w:t xml:space="preserve"> not only for Case-1 but also what enhancement is needed to support OTA synchronization of DL transmission timing in Case-6/7</w:t>
      </w:r>
      <w:r w:rsidR="004155C7">
        <w:rPr>
          <w:rFonts w:cs="Arial"/>
          <w:lang w:val="en-GB" w:eastAsia="ja-JP"/>
        </w:rPr>
        <w:t xml:space="preserve"> (with the UL </w:t>
      </w:r>
      <w:r w:rsidR="008178C2">
        <w:rPr>
          <w:rFonts w:cs="Arial"/>
          <w:lang w:val="en-GB" w:eastAsia="ja-JP"/>
        </w:rPr>
        <w:t xml:space="preserve">reception </w:t>
      </w:r>
      <w:r w:rsidR="004155C7">
        <w:rPr>
          <w:rFonts w:cs="Arial"/>
          <w:lang w:val="en-GB" w:eastAsia="ja-JP"/>
        </w:rPr>
        <w:t xml:space="preserve">timing </w:t>
      </w:r>
      <w:r w:rsidR="005C0B14">
        <w:rPr>
          <w:rFonts w:cs="Arial"/>
          <w:lang w:val="en-GB" w:eastAsia="ja-JP"/>
        </w:rPr>
        <w:t>exceeding</w:t>
      </w:r>
      <w:r w:rsidR="004155C7">
        <w:rPr>
          <w:rFonts w:cs="Arial"/>
          <w:lang w:val="en-GB" w:eastAsia="ja-JP"/>
        </w:rPr>
        <w:t xml:space="preserve"> the common range of Case-1)</w:t>
      </w:r>
      <w:r w:rsidR="00830D2E">
        <w:rPr>
          <w:rFonts w:cs="Arial"/>
          <w:lang w:val="en-GB" w:eastAsia="ja-JP"/>
        </w:rPr>
        <w:t xml:space="preserve">. It </w:t>
      </w:r>
      <w:r w:rsidR="00D1772E">
        <w:rPr>
          <w:rFonts w:cs="Arial"/>
          <w:lang w:val="en-GB" w:eastAsia="ja-JP"/>
        </w:rPr>
        <w:t>was</w:t>
      </w:r>
      <w:r w:rsidR="00830D2E">
        <w:rPr>
          <w:rFonts w:cs="Arial"/>
          <w:lang w:val="en-GB" w:eastAsia="ja-JP"/>
        </w:rPr>
        <w:t xml:space="preserve"> found that </w:t>
      </w:r>
      <w:r w:rsidR="0084499B">
        <w:rPr>
          <w:rFonts w:cs="Arial"/>
          <w:lang w:val="en-GB" w:eastAsia="ja-JP"/>
        </w:rPr>
        <w:t xml:space="preserve">the </w:t>
      </w:r>
      <w:r w:rsidR="00830D2E">
        <w:rPr>
          <w:rFonts w:cs="Arial"/>
          <w:lang w:val="en-GB" w:eastAsia="ja-JP"/>
        </w:rPr>
        <w:t>required enhancements for Case-6 and Case-7 timing configurations are identical.</w:t>
      </w:r>
    </w:p>
    <w:p w14:paraId="22A3B5ED" w14:textId="05143E0A" w:rsidR="004155C7" w:rsidRDefault="00830D2E" w:rsidP="003236FD">
      <w:pPr>
        <w:jc w:val="both"/>
        <w:rPr>
          <w:rFonts w:cs="Arial"/>
          <w:lang w:val="en-GB" w:eastAsia="ja-JP"/>
        </w:rPr>
      </w:pPr>
      <w:r>
        <w:rPr>
          <w:rFonts w:cs="Arial"/>
          <w:lang w:val="en-GB" w:eastAsia="ja-JP"/>
        </w:rPr>
        <w:t xml:space="preserve">The current range for signalling </w:t>
      </w:r>
      <w:proofErr w:type="spellStart"/>
      <w:r>
        <w:rPr>
          <w:rFonts w:cs="Arial"/>
          <w:lang w:val="en-GB" w:eastAsia="ja-JP"/>
        </w:rPr>
        <w:t>T_delta</w:t>
      </w:r>
      <w:proofErr w:type="spellEnd"/>
      <w:r>
        <w:rPr>
          <w:rFonts w:cs="Arial"/>
          <w:lang w:val="en-GB" w:eastAsia="ja-JP"/>
        </w:rPr>
        <w:t xml:space="preserve">, based on RAN4 recommendations for timing configuration Case-1, allows accounting for scenarios when UL reception timing </w:t>
      </w:r>
      <w:r w:rsidR="003620FC">
        <w:rPr>
          <w:rFonts w:cs="Arial"/>
          <w:lang w:val="en-GB" w:eastAsia="ja-JP"/>
        </w:rPr>
        <w:t>being located</w:t>
      </w:r>
      <w:r>
        <w:rPr>
          <w:rFonts w:cs="Arial"/>
          <w:lang w:val="en-GB" w:eastAsia="ja-JP"/>
        </w:rPr>
        <w:t xml:space="preserve"> before </w:t>
      </w:r>
      <w:r w:rsidR="00543A59">
        <w:rPr>
          <w:rFonts w:cs="Arial"/>
          <w:lang w:val="en-GB" w:eastAsia="ja-JP"/>
        </w:rPr>
        <w:t>a node’s DL transmission timing. However, for</w:t>
      </w:r>
      <w:r w:rsidR="008A7E24">
        <w:rPr>
          <w:rFonts w:cs="Arial"/>
          <w:lang w:val="en-GB" w:eastAsia="ja-JP"/>
        </w:rPr>
        <w:t xml:space="preserve"> an IAB-node operating in</w:t>
      </w:r>
      <w:r w:rsidR="00543A59">
        <w:rPr>
          <w:rFonts w:cs="Arial"/>
          <w:lang w:val="en-GB" w:eastAsia="ja-JP"/>
        </w:rPr>
        <w:t xml:space="preserve"> Case-6</w:t>
      </w:r>
      <w:r w:rsidR="008A7E24">
        <w:rPr>
          <w:rFonts w:cs="Arial"/>
          <w:lang w:val="en-GB" w:eastAsia="ja-JP"/>
        </w:rPr>
        <w:t xml:space="preserve"> and Case-7</w:t>
      </w:r>
      <w:r w:rsidR="00543A59">
        <w:rPr>
          <w:rFonts w:cs="Arial"/>
          <w:lang w:val="en-GB" w:eastAsia="ja-JP"/>
        </w:rPr>
        <w:t xml:space="preserve">, </w:t>
      </w:r>
      <w:r w:rsidR="004155C7">
        <w:rPr>
          <w:rFonts w:cs="Arial"/>
          <w:lang w:val="en-GB" w:eastAsia="ja-JP"/>
        </w:rPr>
        <w:t>the</w:t>
      </w:r>
      <w:r w:rsidR="00543A59">
        <w:rPr>
          <w:rFonts w:cs="Arial"/>
          <w:lang w:val="en-GB" w:eastAsia="ja-JP"/>
        </w:rPr>
        <w:t xml:space="preserve"> UL reception timing </w:t>
      </w:r>
      <w:r w:rsidR="003620FC">
        <w:rPr>
          <w:rFonts w:cs="Arial"/>
          <w:lang w:val="en-GB" w:eastAsia="ja-JP"/>
        </w:rPr>
        <w:t>being located</w:t>
      </w:r>
      <w:r w:rsidR="00543A59">
        <w:rPr>
          <w:rFonts w:cs="Arial"/>
          <w:lang w:val="en-GB" w:eastAsia="ja-JP"/>
        </w:rPr>
        <w:t xml:space="preserve"> after</w:t>
      </w:r>
      <w:r w:rsidR="008A7E24">
        <w:rPr>
          <w:rFonts w:cs="Arial"/>
          <w:lang w:val="en-GB" w:eastAsia="ja-JP"/>
        </w:rPr>
        <w:t xml:space="preserve"> the DL transmission timing at the parent IAB-node and IAB-node, respectively</w:t>
      </w:r>
      <w:r w:rsidR="008044AD">
        <w:rPr>
          <w:rFonts w:cs="Arial"/>
          <w:lang w:val="en-GB" w:eastAsia="ja-JP"/>
        </w:rPr>
        <w:t>.</w:t>
      </w:r>
      <w:r w:rsidR="004155C7">
        <w:rPr>
          <w:rFonts w:cs="Arial"/>
          <w:lang w:val="en-GB" w:eastAsia="ja-JP"/>
        </w:rPr>
        <w:t xml:space="preserve"> We showed </w:t>
      </w:r>
      <w:r w:rsidR="004402DD">
        <w:rPr>
          <w:rFonts w:cs="Arial"/>
          <w:lang w:val="en-GB" w:eastAsia="ja-JP"/>
        </w:rPr>
        <w:t>that the relation of</w:t>
      </w:r>
      <w:r w:rsidR="004155C7">
        <w:rPr>
          <w:rFonts w:cs="Arial"/>
          <w:lang w:val="en-GB" w:eastAsia="ja-JP"/>
        </w:rPr>
        <w:t xml:space="preserve"> </w:t>
      </w:r>
      <w:proofErr w:type="spellStart"/>
      <w:r w:rsidR="004155C7">
        <w:rPr>
          <w:rFonts w:cs="Arial"/>
          <w:lang w:val="en-GB" w:eastAsia="ja-JP"/>
        </w:rPr>
        <w:t>T_delta,index</w:t>
      </w:r>
      <w:proofErr w:type="spellEnd"/>
      <w:r w:rsidR="004155C7">
        <w:rPr>
          <w:rFonts w:cs="Arial"/>
          <w:lang w:val="en-GB" w:eastAsia="ja-JP"/>
        </w:rPr>
        <w:t xml:space="preserve"> (as signalled by MAC CE</w:t>
      </w:r>
      <w:r w:rsidR="004402DD">
        <w:rPr>
          <w:rFonts w:cs="Arial"/>
          <w:lang w:val="en-GB" w:eastAsia="ja-JP"/>
        </w:rPr>
        <w:t xml:space="preserve">, TS </w:t>
      </w:r>
      <w:r w:rsidR="004155C7">
        <w:rPr>
          <w:rFonts w:cs="Arial"/>
          <w:lang w:val="en-GB" w:eastAsia="ja-JP"/>
        </w:rPr>
        <w:t>38.21</w:t>
      </w:r>
      <w:r w:rsidR="004402DD">
        <w:rPr>
          <w:rFonts w:cs="Arial"/>
          <w:lang w:val="en-GB" w:eastAsia="ja-JP"/>
        </w:rPr>
        <w:t xml:space="preserve">3 </w:t>
      </w:r>
      <w:r w:rsidR="004402DD">
        <w:rPr>
          <w:rFonts w:cs="Arial"/>
          <w:lang w:val="en-GB" w:eastAsia="ja-JP"/>
        </w:rPr>
        <w:fldChar w:fldCharType="begin"/>
      </w:r>
      <w:r w:rsidR="004402DD">
        <w:rPr>
          <w:rFonts w:cs="Arial"/>
          <w:lang w:val="en-GB" w:eastAsia="ja-JP"/>
        </w:rPr>
        <w:instrText xml:space="preserve"> REF _Ref71576254 \w \h </w:instrText>
      </w:r>
      <w:r w:rsidR="004402DD">
        <w:rPr>
          <w:rFonts w:cs="Arial"/>
          <w:lang w:val="en-GB" w:eastAsia="ja-JP"/>
        </w:rPr>
      </w:r>
      <w:r w:rsidR="003236FD">
        <w:rPr>
          <w:rFonts w:cs="Arial"/>
          <w:lang w:val="en-GB" w:eastAsia="ja-JP"/>
        </w:rPr>
        <w:instrText xml:space="preserve"> \* MERGEFORMAT </w:instrText>
      </w:r>
      <w:r w:rsidR="004402DD">
        <w:rPr>
          <w:rFonts w:cs="Arial"/>
          <w:lang w:val="en-GB" w:eastAsia="ja-JP"/>
        </w:rPr>
        <w:fldChar w:fldCharType="separate"/>
      </w:r>
      <w:r w:rsidR="000E3397">
        <w:rPr>
          <w:rFonts w:cs="Arial"/>
          <w:lang w:val="en-GB" w:eastAsia="ja-JP"/>
        </w:rPr>
        <w:t>[4]</w:t>
      </w:r>
      <w:r w:rsidR="004402DD">
        <w:rPr>
          <w:rFonts w:cs="Arial"/>
          <w:lang w:val="en-GB" w:eastAsia="ja-JP"/>
        </w:rPr>
        <w:fldChar w:fldCharType="end"/>
      </w:r>
      <w:r w:rsidR="004155C7">
        <w:rPr>
          <w:rFonts w:cs="Arial"/>
          <w:lang w:val="en-GB" w:eastAsia="ja-JP"/>
        </w:rPr>
        <w:t>)</w:t>
      </w:r>
      <w:r w:rsidR="004402DD">
        <w:rPr>
          <w:rFonts w:cs="Arial"/>
          <w:lang w:val="en-GB" w:eastAsia="ja-JP"/>
        </w:rPr>
        <w:t xml:space="preserve"> and propagation delay on a parent backhaul link, </w:t>
      </w:r>
      <w:r w:rsidR="00A84064">
        <w:rPr>
          <w:rFonts w:cs="Arial"/>
          <w:lang w:val="en-GB" w:eastAsia="ja-JP"/>
        </w:rPr>
        <w:t>T_PN</w:t>
      </w:r>
      <w:r w:rsidR="004402DD">
        <w:rPr>
          <w:rFonts w:cs="Arial"/>
          <w:lang w:val="en-GB" w:eastAsia="ja-JP"/>
        </w:rPr>
        <w:t>, of an IAB-node operating in Case-6/7 is</w:t>
      </w:r>
      <w:r w:rsidR="00524601">
        <w:rPr>
          <w:rFonts w:cs="Arial"/>
          <w:lang w:val="en-GB" w:eastAsia="ja-JP"/>
        </w:rPr>
        <w:t xml:space="preserve"> given by</w:t>
      </w:r>
    </w:p>
    <w:p w14:paraId="4B016DF3" w14:textId="77777777" w:rsidR="004155C7" w:rsidRPr="00EE3B64" w:rsidRDefault="000038E9" w:rsidP="003236FD">
      <w:pPr>
        <w:jc w:val="both"/>
      </w:pPr>
      <m:oMathPara>
        <m:oMath>
          <m:sSub>
            <m:sSubPr>
              <m:ctrlPr>
                <w:rPr>
                  <w:rFonts w:ascii="Cambria Math" w:hAnsi="Cambria Math"/>
                </w:rPr>
              </m:ctrlPr>
            </m:sSubPr>
            <m:e>
              <m:r>
                <w:rPr>
                  <w:rFonts w:ascii="Cambria Math" w:hAnsi="Cambria Math"/>
                </w:rPr>
                <m:t>T</m:t>
              </m:r>
            </m:e>
            <m:sub>
              <m:r>
                <m:rPr>
                  <m:sty m:val="p"/>
                </m:rPr>
                <w:rPr>
                  <w:rFonts w:ascii="Cambria Math" w:hAnsi="Cambria Math"/>
                </w:rPr>
                <m:t>delta,index</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G</m:t>
              </m:r>
            </m:den>
          </m:f>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0.5⋅</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PN</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c</m:t>
                          </m:r>
                        </m:sub>
                      </m:sSub>
                    </m:den>
                  </m:f>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delta</m:t>
                  </m:r>
                </m:sub>
              </m:sSub>
            </m:e>
          </m:d>
        </m:oMath>
      </m:oMathPara>
    </w:p>
    <w:p w14:paraId="3FC6DC62" w14:textId="1DF4E59C" w:rsidR="004155C7" w:rsidRDefault="00524601" w:rsidP="003236FD">
      <w:pPr>
        <w:jc w:val="both"/>
        <w:rPr>
          <w:rFonts w:cs="Arial"/>
          <w:lang w:val="en-GB" w:eastAsia="ja-JP"/>
        </w:rPr>
      </w:pPr>
      <w:r>
        <w:rPr>
          <w:rFonts w:cs="Arial"/>
          <w:lang w:val="en-GB" w:eastAsia="ja-JP"/>
        </w:rPr>
        <w:t>From that</w:t>
      </w:r>
      <w:r w:rsidR="00274084">
        <w:rPr>
          <w:rFonts w:cs="Arial"/>
          <w:lang w:val="en-GB" w:eastAsia="ja-JP"/>
        </w:rPr>
        <w:t>,</w:t>
      </w:r>
      <w:r>
        <w:rPr>
          <w:rFonts w:cs="Arial"/>
          <w:lang w:val="en-GB" w:eastAsia="ja-JP"/>
        </w:rPr>
        <w:t xml:space="preserve"> one can derive the (currently specified) </w:t>
      </w:r>
      <w:r w:rsidR="00875F43">
        <w:rPr>
          <w:rFonts w:cs="Arial"/>
          <w:lang w:val="en-GB" w:eastAsia="ja-JP"/>
        </w:rPr>
        <w:t xml:space="preserve">minimum and </w:t>
      </w:r>
      <w:r>
        <w:rPr>
          <w:rFonts w:cs="Arial"/>
          <w:lang w:val="en-GB" w:eastAsia="ja-JP"/>
        </w:rPr>
        <w:t xml:space="preserve">maximum </w:t>
      </w:r>
      <w:proofErr w:type="spellStart"/>
      <w:r>
        <w:rPr>
          <w:rFonts w:cs="Arial"/>
          <w:lang w:val="en-GB" w:eastAsia="ja-JP"/>
        </w:rPr>
        <w:t>T_delta,index</w:t>
      </w:r>
      <w:proofErr w:type="spellEnd"/>
      <w:r w:rsidR="00875F43">
        <w:rPr>
          <w:rFonts w:cs="Arial"/>
          <w:lang w:val="en-GB" w:eastAsia="ja-JP"/>
        </w:rPr>
        <w:t>, based on RAN4 recommendations for timing configuration Case-1, as</w:t>
      </w:r>
      <w:r w:rsidR="003610E1">
        <w:rPr>
          <w:rFonts w:cs="Arial"/>
          <w:lang w:val="en-GB" w:eastAsia="ja-JP"/>
        </w:rPr>
        <w:t xml:space="preserve"> shown in</w:t>
      </w:r>
      <w:r w:rsidR="003610E1">
        <w:rPr>
          <w:rFonts w:cs="Arial"/>
        </w:rPr>
        <w:t xml:space="preserve"> </w:t>
      </w:r>
      <w:r w:rsidR="003610E1">
        <w:rPr>
          <w:rFonts w:cs="Arial"/>
        </w:rPr>
        <w:fldChar w:fldCharType="begin"/>
      </w:r>
      <w:r w:rsidR="003610E1">
        <w:rPr>
          <w:rFonts w:cs="Arial"/>
        </w:rPr>
        <w:instrText xml:space="preserve"> REF _Ref71577054 \h </w:instrText>
      </w:r>
      <w:r w:rsidR="003610E1">
        <w:rPr>
          <w:rFonts w:cs="Arial"/>
        </w:rPr>
      </w:r>
      <w:r w:rsidR="003236FD">
        <w:rPr>
          <w:rFonts w:cs="Arial"/>
        </w:rPr>
        <w:instrText xml:space="preserve"> \* MERGEFORMAT </w:instrText>
      </w:r>
      <w:r w:rsidR="003610E1">
        <w:rPr>
          <w:rFonts w:cs="Arial"/>
        </w:rPr>
        <w:fldChar w:fldCharType="separate"/>
      </w:r>
      <w:r w:rsidR="000E3397" w:rsidRPr="00AF42E0">
        <w:rPr>
          <w:rFonts w:cs="Arial"/>
        </w:rPr>
        <w:t xml:space="preserve">Table </w:t>
      </w:r>
      <w:r w:rsidR="000E3397">
        <w:rPr>
          <w:rFonts w:cs="Arial"/>
          <w:noProof/>
        </w:rPr>
        <w:t>1</w:t>
      </w:r>
      <w:r w:rsidR="003610E1">
        <w:rPr>
          <w:rFonts w:cs="Arial"/>
        </w:rPr>
        <w:fldChar w:fldCharType="end"/>
      </w:r>
      <w:r w:rsidR="003610E1">
        <w:rPr>
          <w:rFonts w:cs="Arial"/>
          <w:lang w:val="en-GB" w:eastAsia="ja-JP"/>
        </w:rPr>
        <w:t>.</w:t>
      </w:r>
    </w:p>
    <w:p w14:paraId="39141091" w14:textId="22D5F48A" w:rsidR="00524601" w:rsidRDefault="00AF42E0" w:rsidP="00524601">
      <w:pPr>
        <w:pStyle w:val="Caption"/>
        <w:keepNext/>
        <w:jc w:val="center"/>
      </w:pPr>
      <w:bookmarkStart w:id="3" w:name="_Ref71577054"/>
      <w:r w:rsidRPr="00AF42E0">
        <w:rPr>
          <w:rFonts w:cs="Arial"/>
        </w:rPr>
        <w:t xml:space="preserve">Table </w:t>
      </w:r>
      <w:r w:rsidRPr="00AF42E0">
        <w:rPr>
          <w:rFonts w:cs="Arial"/>
          <w:b w:val="0"/>
        </w:rPr>
        <w:fldChar w:fldCharType="begin"/>
      </w:r>
      <w:r w:rsidRPr="00AF42E0">
        <w:rPr>
          <w:rFonts w:cs="Arial"/>
        </w:rPr>
        <w:instrText xml:space="preserve"> SEQ Table \* ARABIC </w:instrText>
      </w:r>
      <w:r w:rsidRPr="00AF42E0">
        <w:rPr>
          <w:rFonts w:cs="Arial"/>
          <w:b w:val="0"/>
        </w:rPr>
        <w:fldChar w:fldCharType="separate"/>
      </w:r>
      <w:r w:rsidR="000E3397">
        <w:rPr>
          <w:rFonts w:cs="Arial"/>
          <w:noProof/>
        </w:rPr>
        <w:t>1</w:t>
      </w:r>
      <w:r w:rsidRPr="00AF42E0">
        <w:rPr>
          <w:rFonts w:cs="Arial"/>
          <w:b w:val="0"/>
        </w:rPr>
        <w:fldChar w:fldCharType="end"/>
      </w:r>
      <w:bookmarkEnd w:id="3"/>
      <w:r w:rsidR="00524601" w:rsidRPr="00AF42E0">
        <w:rPr>
          <w:rFonts w:cs="Arial"/>
        </w:rPr>
        <w:t>: Range</w:t>
      </w:r>
      <w:r w:rsidR="00524601" w:rsidRPr="007A2D70">
        <w:t xml:space="preserve"> of </w:t>
      </w:r>
      <w:proofErr w:type="spellStart"/>
      <w:r w:rsidR="00524601" w:rsidRPr="007A2D70">
        <w:t>T_delta_index</w:t>
      </w:r>
      <w:proofErr w:type="spellEnd"/>
      <w:r w:rsidR="00524601" w:rsidRPr="007A2D70">
        <w:t xml:space="preserve"> (MAC CE)</w:t>
      </w:r>
      <w:r w:rsidR="00A84FE4">
        <w:t xml:space="preserve"> for Case-1 timing</w:t>
      </w:r>
      <w:r w:rsidR="005246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94"/>
        <w:gridCol w:w="1225"/>
      </w:tblGrid>
      <w:tr w:rsidR="00524601" w:rsidRPr="00CA10F6" w14:paraId="554AECED" w14:textId="77777777" w:rsidTr="00E82650">
        <w:trPr>
          <w:jc w:val="center"/>
        </w:trPr>
        <w:tc>
          <w:tcPr>
            <w:tcW w:w="0" w:type="auto"/>
            <w:shd w:val="clear" w:color="auto" w:fill="auto"/>
          </w:tcPr>
          <w:p w14:paraId="51CC687C" w14:textId="77777777" w:rsidR="00524601" w:rsidRPr="00CA10F6" w:rsidRDefault="00524601" w:rsidP="00E82650">
            <w:pPr>
              <w:jc w:val="both"/>
              <w:rPr>
                <w:rFonts w:ascii="Calibri" w:hAnsi="Calibri" w:cs="Calibri"/>
              </w:rPr>
            </w:pPr>
            <w:r w:rsidRPr="00CA10F6">
              <w:rPr>
                <w:rFonts w:ascii="Calibri" w:hAnsi="Calibri" w:cs="Calibri"/>
              </w:rPr>
              <w:t>SCS [kHz]</w:t>
            </w:r>
          </w:p>
        </w:tc>
        <w:tc>
          <w:tcPr>
            <w:tcW w:w="0" w:type="auto"/>
            <w:shd w:val="clear" w:color="auto" w:fill="auto"/>
          </w:tcPr>
          <w:p w14:paraId="29D146C6" w14:textId="77777777" w:rsidR="00524601" w:rsidRPr="00CA10F6" w:rsidRDefault="00524601" w:rsidP="00E82650">
            <w:pPr>
              <w:jc w:val="both"/>
              <w:rPr>
                <w:rFonts w:ascii="Calibri" w:hAnsi="Calibri" w:cs="Calibri"/>
              </w:rPr>
            </w:pPr>
            <w:r w:rsidRPr="00CA10F6">
              <w:rPr>
                <w:rFonts w:ascii="Calibri" w:hAnsi="Calibri" w:cs="Calibri"/>
              </w:rPr>
              <w:t xml:space="preserve">Min </w:t>
            </w:r>
            <w:proofErr w:type="spellStart"/>
            <w:r w:rsidRPr="00CA10F6">
              <w:rPr>
                <w:rFonts w:ascii="Calibri" w:hAnsi="Calibri" w:cs="Calibri"/>
              </w:rPr>
              <w:t>T_delta</w:t>
            </w:r>
            <w:proofErr w:type="spellEnd"/>
          </w:p>
        </w:tc>
        <w:tc>
          <w:tcPr>
            <w:tcW w:w="0" w:type="auto"/>
            <w:shd w:val="clear" w:color="auto" w:fill="auto"/>
          </w:tcPr>
          <w:p w14:paraId="5C94D8B8" w14:textId="77777777" w:rsidR="00524601" w:rsidRPr="00CA10F6" w:rsidRDefault="00524601" w:rsidP="00E82650">
            <w:pPr>
              <w:jc w:val="both"/>
              <w:rPr>
                <w:rFonts w:ascii="Calibri" w:hAnsi="Calibri" w:cs="Calibri"/>
              </w:rPr>
            </w:pPr>
            <w:r w:rsidRPr="00CA10F6">
              <w:rPr>
                <w:rFonts w:ascii="Calibri" w:hAnsi="Calibri" w:cs="Calibri"/>
              </w:rPr>
              <w:t xml:space="preserve">Max </w:t>
            </w:r>
            <w:proofErr w:type="spellStart"/>
            <w:r w:rsidRPr="00CA10F6">
              <w:rPr>
                <w:rFonts w:ascii="Calibri" w:hAnsi="Calibri" w:cs="Calibri"/>
              </w:rPr>
              <w:t>T_delta</w:t>
            </w:r>
            <w:proofErr w:type="spellEnd"/>
          </w:p>
        </w:tc>
      </w:tr>
      <w:tr w:rsidR="00524601" w:rsidRPr="00C82FC4" w14:paraId="12F7F529" w14:textId="77777777" w:rsidTr="00E82650">
        <w:trPr>
          <w:jc w:val="center"/>
        </w:trPr>
        <w:tc>
          <w:tcPr>
            <w:tcW w:w="0" w:type="auto"/>
            <w:shd w:val="clear" w:color="auto" w:fill="auto"/>
          </w:tcPr>
          <w:p w14:paraId="36701105" w14:textId="77777777" w:rsidR="00524601" w:rsidRPr="00C82FC4" w:rsidRDefault="00524601" w:rsidP="00E82650">
            <w:pPr>
              <w:jc w:val="both"/>
              <w:rPr>
                <w:rFonts w:ascii="Calibri" w:hAnsi="Calibri" w:cs="Calibri"/>
              </w:rPr>
            </w:pPr>
            <w:r w:rsidRPr="00C82FC4">
              <w:rPr>
                <w:rFonts w:ascii="Calibri" w:hAnsi="Calibri" w:cs="Calibri"/>
              </w:rPr>
              <w:t>15</w:t>
            </w:r>
          </w:p>
        </w:tc>
        <w:tc>
          <w:tcPr>
            <w:tcW w:w="0" w:type="auto"/>
            <w:shd w:val="clear" w:color="auto" w:fill="auto"/>
            <w:vAlign w:val="bottom"/>
          </w:tcPr>
          <w:p w14:paraId="0449CD41" w14:textId="77777777" w:rsidR="00524601" w:rsidRPr="00C82FC4" w:rsidDel="00B37B10" w:rsidRDefault="00524601" w:rsidP="00E82650">
            <w:pPr>
              <w:jc w:val="both"/>
              <w:rPr>
                <w:rFonts w:ascii="Calibri" w:hAnsi="Calibri" w:cs="Calibri"/>
                <w:color w:val="000000"/>
              </w:rPr>
            </w:pPr>
            <w:r>
              <w:rPr>
                <w:rFonts w:ascii="Calibri" w:hAnsi="Calibri" w:cs="Calibri"/>
                <w:color w:val="000000"/>
              </w:rPr>
              <w:t>0</w:t>
            </w:r>
          </w:p>
        </w:tc>
        <w:tc>
          <w:tcPr>
            <w:tcW w:w="0" w:type="auto"/>
            <w:shd w:val="clear" w:color="auto" w:fill="auto"/>
          </w:tcPr>
          <w:p w14:paraId="1E53E153" w14:textId="77777777" w:rsidR="00524601" w:rsidRPr="00C82FC4" w:rsidRDefault="00524601" w:rsidP="00E82650">
            <w:pPr>
              <w:jc w:val="both"/>
              <w:rPr>
                <w:rFonts w:ascii="Calibri" w:hAnsi="Calibri" w:cs="Calibri"/>
              </w:rPr>
            </w:pPr>
            <w:r>
              <w:rPr>
                <w:rFonts w:ascii="Calibri" w:hAnsi="Calibri" w:cs="Calibri"/>
                <w:color w:val="000000"/>
              </w:rPr>
              <w:t>1199</w:t>
            </w:r>
          </w:p>
        </w:tc>
      </w:tr>
      <w:tr w:rsidR="00524601" w:rsidRPr="00C82FC4" w14:paraId="6CD9FC64" w14:textId="77777777" w:rsidTr="00E82650">
        <w:trPr>
          <w:jc w:val="center"/>
        </w:trPr>
        <w:tc>
          <w:tcPr>
            <w:tcW w:w="0" w:type="auto"/>
            <w:shd w:val="clear" w:color="auto" w:fill="auto"/>
          </w:tcPr>
          <w:p w14:paraId="4D84EEB9" w14:textId="77777777" w:rsidR="00524601" w:rsidRPr="00C82FC4" w:rsidRDefault="00524601" w:rsidP="00E82650">
            <w:pPr>
              <w:jc w:val="both"/>
              <w:rPr>
                <w:rFonts w:ascii="Calibri" w:hAnsi="Calibri" w:cs="Calibri"/>
              </w:rPr>
            </w:pPr>
            <w:r w:rsidRPr="00C82FC4">
              <w:rPr>
                <w:rFonts w:ascii="Calibri" w:hAnsi="Calibri" w:cs="Calibri"/>
              </w:rPr>
              <w:t>30</w:t>
            </w:r>
          </w:p>
        </w:tc>
        <w:tc>
          <w:tcPr>
            <w:tcW w:w="0" w:type="auto"/>
            <w:shd w:val="clear" w:color="auto" w:fill="auto"/>
            <w:vAlign w:val="bottom"/>
          </w:tcPr>
          <w:p w14:paraId="7FC71E52" w14:textId="77777777" w:rsidR="00524601" w:rsidRPr="00C82FC4" w:rsidDel="00F94ED9" w:rsidRDefault="00524601" w:rsidP="00E82650">
            <w:pPr>
              <w:jc w:val="both"/>
              <w:rPr>
                <w:rFonts w:ascii="Calibri" w:hAnsi="Calibri" w:cs="Calibri"/>
              </w:rPr>
            </w:pPr>
            <w:r>
              <w:rPr>
                <w:rFonts w:ascii="Calibri" w:hAnsi="Calibri" w:cs="Calibri"/>
              </w:rPr>
              <w:t>550</w:t>
            </w:r>
          </w:p>
        </w:tc>
        <w:tc>
          <w:tcPr>
            <w:tcW w:w="0" w:type="auto"/>
            <w:shd w:val="clear" w:color="auto" w:fill="auto"/>
          </w:tcPr>
          <w:p w14:paraId="14E33E4E" w14:textId="77777777" w:rsidR="00524601" w:rsidRPr="00C82FC4" w:rsidRDefault="00524601" w:rsidP="00E82650">
            <w:pPr>
              <w:jc w:val="both"/>
              <w:rPr>
                <w:rFonts w:ascii="Calibri" w:hAnsi="Calibri" w:cs="Calibri"/>
              </w:rPr>
            </w:pPr>
            <w:r>
              <w:rPr>
                <w:rFonts w:ascii="Calibri" w:hAnsi="Calibri" w:cs="Calibri"/>
                <w:color w:val="000000"/>
              </w:rPr>
              <w:t>1197</w:t>
            </w:r>
          </w:p>
        </w:tc>
      </w:tr>
      <w:tr w:rsidR="00524601" w:rsidRPr="00C82FC4" w14:paraId="15AC6FCD" w14:textId="77777777" w:rsidTr="00E82650">
        <w:trPr>
          <w:jc w:val="center"/>
        </w:trPr>
        <w:tc>
          <w:tcPr>
            <w:tcW w:w="0" w:type="auto"/>
            <w:shd w:val="clear" w:color="auto" w:fill="auto"/>
          </w:tcPr>
          <w:p w14:paraId="01B4822A" w14:textId="77777777" w:rsidR="00524601" w:rsidRPr="00C82FC4" w:rsidRDefault="00524601" w:rsidP="00E82650">
            <w:pPr>
              <w:jc w:val="both"/>
              <w:rPr>
                <w:rFonts w:ascii="Calibri" w:hAnsi="Calibri" w:cs="Calibri"/>
              </w:rPr>
            </w:pPr>
            <w:r w:rsidRPr="00C82FC4">
              <w:rPr>
                <w:rFonts w:ascii="Calibri" w:hAnsi="Calibri" w:cs="Calibri"/>
              </w:rPr>
              <w:t>60</w:t>
            </w:r>
          </w:p>
        </w:tc>
        <w:tc>
          <w:tcPr>
            <w:tcW w:w="0" w:type="auto"/>
            <w:shd w:val="clear" w:color="auto" w:fill="auto"/>
            <w:vAlign w:val="bottom"/>
          </w:tcPr>
          <w:p w14:paraId="04F24639" w14:textId="77777777" w:rsidR="00524601" w:rsidRPr="00C82FC4" w:rsidDel="00F94ED9" w:rsidRDefault="00524601" w:rsidP="00E82650">
            <w:pPr>
              <w:jc w:val="both"/>
              <w:rPr>
                <w:rFonts w:ascii="Calibri" w:hAnsi="Calibri" w:cs="Calibri"/>
              </w:rPr>
            </w:pPr>
            <w:r>
              <w:rPr>
                <w:rFonts w:ascii="Calibri" w:hAnsi="Calibri" w:cs="Calibri"/>
                <w:color w:val="000000"/>
              </w:rPr>
              <w:t>0</w:t>
            </w:r>
          </w:p>
        </w:tc>
        <w:tc>
          <w:tcPr>
            <w:tcW w:w="0" w:type="auto"/>
            <w:shd w:val="clear" w:color="auto" w:fill="auto"/>
          </w:tcPr>
          <w:p w14:paraId="5D7CBEB1" w14:textId="77777777" w:rsidR="00524601" w:rsidRPr="00C82FC4" w:rsidRDefault="00524601" w:rsidP="00E82650">
            <w:pPr>
              <w:jc w:val="both"/>
              <w:rPr>
                <w:rFonts w:ascii="Calibri" w:hAnsi="Calibri" w:cs="Calibri"/>
              </w:rPr>
            </w:pPr>
            <w:r>
              <w:rPr>
                <w:rFonts w:ascii="Calibri" w:hAnsi="Calibri" w:cs="Calibri"/>
                <w:color w:val="000000"/>
              </w:rPr>
              <w:t>740</w:t>
            </w:r>
          </w:p>
        </w:tc>
      </w:tr>
      <w:tr w:rsidR="00524601" w:rsidRPr="00C82FC4" w14:paraId="6AA7FBB0" w14:textId="77777777" w:rsidTr="00E82650">
        <w:trPr>
          <w:jc w:val="center"/>
        </w:trPr>
        <w:tc>
          <w:tcPr>
            <w:tcW w:w="0" w:type="auto"/>
            <w:shd w:val="clear" w:color="auto" w:fill="auto"/>
          </w:tcPr>
          <w:p w14:paraId="1349B80F" w14:textId="77777777" w:rsidR="00524601" w:rsidRPr="00C82FC4" w:rsidRDefault="00524601" w:rsidP="00E82650">
            <w:pPr>
              <w:jc w:val="both"/>
              <w:rPr>
                <w:rFonts w:ascii="Calibri" w:hAnsi="Calibri" w:cs="Calibri"/>
              </w:rPr>
            </w:pPr>
            <w:r w:rsidRPr="00C82FC4">
              <w:rPr>
                <w:rFonts w:ascii="Calibri" w:hAnsi="Calibri" w:cs="Calibri"/>
              </w:rPr>
              <w:t>120</w:t>
            </w:r>
          </w:p>
        </w:tc>
        <w:tc>
          <w:tcPr>
            <w:tcW w:w="0" w:type="auto"/>
            <w:shd w:val="clear" w:color="auto" w:fill="auto"/>
            <w:vAlign w:val="bottom"/>
          </w:tcPr>
          <w:p w14:paraId="0E26CDDA" w14:textId="77777777" w:rsidR="00524601" w:rsidRPr="00C82FC4" w:rsidDel="00F94ED9" w:rsidRDefault="00524601" w:rsidP="00E82650">
            <w:pPr>
              <w:jc w:val="both"/>
              <w:rPr>
                <w:rFonts w:ascii="Calibri" w:hAnsi="Calibri" w:cs="Calibri"/>
              </w:rPr>
            </w:pPr>
            <w:r>
              <w:rPr>
                <w:rFonts w:ascii="Calibri" w:hAnsi="Calibri" w:cs="Calibri"/>
                <w:color w:val="000000"/>
              </w:rPr>
              <w:t>276</w:t>
            </w:r>
          </w:p>
        </w:tc>
        <w:tc>
          <w:tcPr>
            <w:tcW w:w="0" w:type="auto"/>
            <w:shd w:val="clear" w:color="auto" w:fill="auto"/>
          </w:tcPr>
          <w:p w14:paraId="01B3D2BB" w14:textId="77777777" w:rsidR="00524601" w:rsidRPr="00C82FC4" w:rsidRDefault="00524601" w:rsidP="00E82650">
            <w:pPr>
              <w:jc w:val="both"/>
              <w:rPr>
                <w:rFonts w:ascii="Calibri" w:hAnsi="Calibri" w:cs="Calibri"/>
              </w:rPr>
            </w:pPr>
            <w:r>
              <w:rPr>
                <w:rFonts w:ascii="Calibri" w:hAnsi="Calibri" w:cs="Calibri"/>
                <w:color w:val="000000"/>
              </w:rPr>
              <w:t>740</w:t>
            </w:r>
          </w:p>
        </w:tc>
      </w:tr>
    </w:tbl>
    <w:p w14:paraId="496F9224" w14:textId="46823B29" w:rsidR="00524601" w:rsidRDefault="00524601" w:rsidP="00524601">
      <w:pPr>
        <w:jc w:val="both"/>
      </w:pPr>
    </w:p>
    <w:p w14:paraId="4A840C1B" w14:textId="2BAF36D3" w:rsidR="00212B6F" w:rsidRDefault="00212B6F" w:rsidP="00212B6F">
      <w:pPr>
        <w:jc w:val="both"/>
      </w:pPr>
      <w:r>
        <w:t>Note: In RAN1 spe</w:t>
      </w:r>
      <w:r w:rsidRPr="00495BC1">
        <w:t>cification,</w:t>
      </w:r>
      <w:r>
        <w:t xml:space="preserve"> there is no limitation on </w:t>
      </w:r>
      <w:proofErr w:type="spellStart"/>
      <w:r>
        <w:t>T_</w:t>
      </w:r>
      <w:proofErr w:type="gramStart"/>
      <w:r>
        <w:t>delta</w:t>
      </w:r>
      <w:r>
        <w:rPr>
          <w:lang w:eastAsia="ja-JP"/>
        </w:rPr>
        <w:t>,</w:t>
      </w:r>
      <w:r>
        <w:t>index</w:t>
      </w:r>
      <w:proofErr w:type="spellEnd"/>
      <w:proofErr w:type="gramEnd"/>
      <w:r>
        <w:t xml:space="preserve">. The only reference to a limited index range is stated in </w:t>
      </w:r>
      <w:r>
        <w:fldChar w:fldCharType="begin"/>
      </w:r>
      <w:r>
        <w:instrText xml:space="preserve"> REF _Ref71576756 \w \h </w:instrText>
      </w:r>
      <w:r>
        <w:fldChar w:fldCharType="separate"/>
      </w:r>
      <w:r w:rsidR="000E3397">
        <w:t>[6]</w:t>
      </w:r>
      <w:r>
        <w:fldChar w:fldCharType="end"/>
      </w:r>
      <w:r>
        <w:t xml:space="preserve"> where the </w:t>
      </w:r>
      <w:proofErr w:type="spellStart"/>
      <w:r>
        <w:t>T_delta</w:t>
      </w:r>
      <w:r>
        <w:rPr>
          <w:lang w:eastAsia="ja-JP"/>
        </w:rPr>
        <w:t>,</w:t>
      </w:r>
      <w:r>
        <w:t>index</w:t>
      </w:r>
      <w:proofErr w:type="spellEnd"/>
      <w:r>
        <w:t xml:space="preserve"> range is (0…1199).</w:t>
      </w:r>
    </w:p>
    <w:p w14:paraId="46D1404C" w14:textId="77777777" w:rsidR="00212B6F" w:rsidRDefault="00212B6F" w:rsidP="00074C07">
      <w:pPr>
        <w:pStyle w:val="Observation"/>
      </w:pPr>
      <w:bookmarkStart w:id="4" w:name="_Toc61903590"/>
      <w:bookmarkStart w:id="5" w:name="_Toc71663433"/>
      <w:proofErr w:type="spellStart"/>
      <w:r>
        <w:lastRenderedPageBreak/>
        <w:t>T_</w:t>
      </w:r>
      <w:proofErr w:type="gramStart"/>
      <w:r>
        <w:t>delta,index</w:t>
      </w:r>
      <w:proofErr w:type="spellEnd"/>
      <w:proofErr w:type="gramEnd"/>
      <w:r>
        <w:t xml:space="preserve"> is unspecified for values beyond 1199.</w:t>
      </w:r>
      <w:bookmarkEnd w:id="4"/>
      <w:bookmarkEnd w:id="5"/>
    </w:p>
    <w:p w14:paraId="0D247408" w14:textId="35112259" w:rsidR="00212B6F" w:rsidRDefault="00AF42E0" w:rsidP="00524601">
      <w:pPr>
        <w:jc w:val="both"/>
      </w:pPr>
      <w:r>
        <w:t xml:space="preserve">RAN4 recommendations did not cover </w:t>
      </w:r>
      <w:r w:rsidR="00274084">
        <w:t xml:space="preserve">an IAB-node’s </w:t>
      </w:r>
      <w:r>
        <w:t xml:space="preserve">UL reception timing </w:t>
      </w:r>
      <w:r w:rsidR="003620FC">
        <w:t>being located</w:t>
      </w:r>
      <w:r>
        <w:t xml:space="preserve"> after its DL transmission timing. So it is natural that the limits </w:t>
      </w:r>
      <w:r w:rsidR="00980471">
        <w:t xml:space="preserve">indicated </w:t>
      </w:r>
      <w:r>
        <w:t xml:space="preserve">in </w:t>
      </w:r>
      <w:r w:rsidR="00DF178D">
        <w:fldChar w:fldCharType="begin"/>
      </w:r>
      <w:r w:rsidR="00DF178D">
        <w:instrText xml:space="preserve"> REF _Ref71577054 \h </w:instrText>
      </w:r>
      <w:r w:rsidR="00DF178D">
        <w:fldChar w:fldCharType="separate"/>
      </w:r>
      <w:r w:rsidR="000E3397" w:rsidRPr="00AF42E0">
        <w:rPr>
          <w:rFonts w:cs="Arial"/>
        </w:rPr>
        <w:t xml:space="preserve">Table </w:t>
      </w:r>
      <w:r w:rsidR="000E3397">
        <w:rPr>
          <w:rFonts w:cs="Arial"/>
          <w:noProof/>
        </w:rPr>
        <w:t>1</w:t>
      </w:r>
      <w:r w:rsidR="00DF178D">
        <w:fldChar w:fldCharType="end"/>
      </w:r>
      <w:r>
        <w:t xml:space="preserve"> do not cover such scenarios and, therefore, </w:t>
      </w:r>
      <w:r w:rsidRPr="00AF42E0">
        <w:t xml:space="preserve">a parent node cannot use </w:t>
      </w:r>
      <w:r w:rsidR="004E37D9">
        <w:t xml:space="preserve">the existing </w:t>
      </w:r>
      <w:proofErr w:type="spellStart"/>
      <w:r w:rsidRPr="00AF42E0">
        <w:t>T_delta,index</w:t>
      </w:r>
      <w:proofErr w:type="spellEnd"/>
      <w:r w:rsidRPr="00AF42E0">
        <w:t xml:space="preserve"> based OTA sync, if an IAB-node is operating in Case-6 timing configuration</w:t>
      </w:r>
      <w:r>
        <w:t>.</w:t>
      </w:r>
      <w:r w:rsidR="000C13DC">
        <w:t xml:space="preserve"> In the same way, an IAB-node operating in Case-7 timing configuration cannot </w:t>
      </w:r>
      <w:r w:rsidR="000C13DC" w:rsidRPr="00AF42E0">
        <w:t xml:space="preserve">use </w:t>
      </w:r>
      <w:r w:rsidR="004E37D9">
        <w:t xml:space="preserve">the existing </w:t>
      </w:r>
      <w:proofErr w:type="spellStart"/>
      <w:r w:rsidR="000C13DC" w:rsidRPr="00AF42E0">
        <w:t>T_</w:t>
      </w:r>
      <w:proofErr w:type="gramStart"/>
      <w:r w:rsidR="000C13DC" w:rsidRPr="00AF42E0">
        <w:t>delta,index</w:t>
      </w:r>
      <w:proofErr w:type="spellEnd"/>
      <w:proofErr w:type="gramEnd"/>
      <w:r w:rsidR="000C13DC" w:rsidRPr="00AF42E0">
        <w:t xml:space="preserve"> based OTA sync</w:t>
      </w:r>
      <w:r w:rsidR="000C13DC">
        <w:t xml:space="preserve"> towards its child-nodes.</w:t>
      </w:r>
    </w:p>
    <w:p w14:paraId="5D3B6238" w14:textId="77777777" w:rsidR="00225964" w:rsidRDefault="00AF42E0" w:rsidP="00074C07">
      <w:pPr>
        <w:pStyle w:val="Observation"/>
      </w:pPr>
      <w:bookmarkStart w:id="6" w:name="_Toc61903591"/>
      <w:bookmarkStart w:id="7" w:name="_Toc71663434"/>
      <w:r w:rsidRPr="00225964">
        <w:t xml:space="preserve">The currently specified range for </w:t>
      </w:r>
      <w:proofErr w:type="spellStart"/>
      <w:r w:rsidRPr="00225964">
        <w:t>T_</w:t>
      </w:r>
      <w:proofErr w:type="gramStart"/>
      <w:r w:rsidRPr="00225964">
        <w:t>delta,index</w:t>
      </w:r>
      <w:proofErr w:type="spellEnd"/>
      <w:proofErr w:type="gramEnd"/>
      <w:r w:rsidRPr="00225964">
        <w:t xml:space="preserve"> does not allow indicating a UL Rx timing occurring later tha</w:t>
      </w:r>
      <w:r w:rsidRPr="00463792">
        <w:t>n a</w:t>
      </w:r>
      <w:r w:rsidRPr="00A76708">
        <w:t xml:space="preserve"> DL Tx timing.</w:t>
      </w:r>
      <w:bookmarkStart w:id="8" w:name="_Toc61903592"/>
      <w:bookmarkEnd w:id="6"/>
      <w:bookmarkEnd w:id="7"/>
    </w:p>
    <w:p w14:paraId="44738E8F" w14:textId="7A7D6303" w:rsidR="00AF42E0" w:rsidRDefault="00225964" w:rsidP="00074C07">
      <w:pPr>
        <w:pStyle w:val="Observation"/>
      </w:pPr>
      <w:bookmarkStart w:id="9" w:name="_Toc71663435"/>
      <w:r w:rsidRPr="00225964">
        <w:t xml:space="preserve">Based on current specification, </w:t>
      </w:r>
      <w:proofErr w:type="spellStart"/>
      <w:r w:rsidRPr="00225964">
        <w:t>T_</w:t>
      </w:r>
      <w:proofErr w:type="gramStart"/>
      <w:r w:rsidRPr="00225964">
        <w:t>delta,index</w:t>
      </w:r>
      <w:proofErr w:type="spellEnd"/>
      <w:proofErr w:type="gramEnd"/>
      <w:r w:rsidRPr="00225964">
        <w:t xml:space="preserve"> based OTA sync cannot be used, if an IAB-node is operating in Case-6 or Case-7 timing configuration.</w:t>
      </w:r>
      <w:bookmarkEnd w:id="8"/>
      <w:bookmarkEnd w:id="9"/>
    </w:p>
    <w:p w14:paraId="4F40BDBD" w14:textId="720E21E0" w:rsidR="00DA690D" w:rsidRDefault="00DA690D" w:rsidP="00524601">
      <w:pPr>
        <w:jc w:val="both"/>
      </w:pPr>
      <w:proofErr w:type="spellStart"/>
      <w:r w:rsidRPr="00C54834">
        <w:t>T_</w:t>
      </w:r>
      <w:proofErr w:type="gramStart"/>
      <w:r w:rsidRPr="00C54834">
        <w:t>delta</w:t>
      </w:r>
      <w:r>
        <w:t>,</w:t>
      </w:r>
      <w:r w:rsidRPr="00C54834">
        <w:t>index</w:t>
      </w:r>
      <w:proofErr w:type="spellEnd"/>
      <w:proofErr w:type="gramEnd"/>
      <w:r w:rsidRPr="00C54834">
        <w:t xml:space="preserve"> is proportional to the parent BH link propagation delay T_PN</w:t>
      </w:r>
      <w:r>
        <w:t xml:space="preserve">. For increasing propagation delay on the IAB-node’s parent BH link, the required </w:t>
      </w:r>
      <w:proofErr w:type="spellStart"/>
      <w:r>
        <w:t>T_</w:t>
      </w:r>
      <w:proofErr w:type="gramStart"/>
      <w:r>
        <w:t>delta,index</w:t>
      </w:r>
      <w:proofErr w:type="spellEnd"/>
      <w:proofErr w:type="gramEnd"/>
      <w:r>
        <w:t xml:space="preserve"> also increases</w:t>
      </w:r>
      <w:r w:rsidRPr="00C54834">
        <w:t xml:space="preserve"> and </w:t>
      </w:r>
      <w:r>
        <w:t>is only limited by assumptions on a maximum propagation delay.</w:t>
      </w:r>
    </w:p>
    <w:p w14:paraId="3B87070A" w14:textId="11793991" w:rsidR="000D26CF" w:rsidRPr="00C54834" w:rsidRDefault="000D26CF" w:rsidP="000D26CF">
      <w:pPr>
        <w:jc w:val="both"/>
      </w:pPr>
      <w:r>
        <w:t xml:space="preserve">By </w:t>
      </w:r>
      <w:r w:rsidRPr="00C54834">
        <w:t>setting T_PN to zero</w:t>
      </w:r>
      <w:r>
        <w:t xml:space="preserve">, </w:t>
      </w:r>
      <w:r w:rsidRPr="00C54834">
        <w:t xml:space="preserve">one can derive a minimum </w:t>
      </w:r>
      <w:proofErr w:type="spellStart"/>
      <w:r w:rsidRPr="00C54834">
        <w:t>T_delta</w:t>
      </w:r>
      <w:r>
        <w:t>,</w:t>
      </w:r>
      <w:r w:rsidRPr="00C54834">
        <w:t>index</w:t>
      </w:r>
      <w:proofErr w:type="spellEnd"/>
      <w:r w:rsidRPr="00C54834">
        <w:t xml:space="preserve"> that a parent IAB-node needs to provide to its downstream IAB-node </w:t>
      </w:r>
      <w:r w:rsidRPr="008712E2">
        <w:rPr>
          <w:iCs/>
        </w:rPr>
        <w:t>(</w:t>
      </w:r>
      <w:r>
        <w:rPr>
          <w:iCs/>
        </w:rPr>
        <w:t>operating in Case-6</w:t>
      </w:r>
      <w:r w:rsidRPr="008712E2">
        <w:rPr>
          <w:iCs/>
        </w:rPr>
        <w:t>)</w:t>
      </w:r>
      <w:r w:rsidRPr="00C54834">
        <w:rPr>
          <w:iCs/>
        </w:rPr>
        <w:t xml:space="preserve"> </w:t>
      </w:r>
      <w:r w:rsidRPr="00C54834">
        <w:t xml:space="preserve">for the IAB-node being able to estimate its parent BH link propagation delay. With the values for </w:t>
      </w:r>
      <w:proofErr w:type="spellStart"/>
      <w:r w:rsidRPr="00C54834">
        <w:t>N_delta</w:t>
      </w:r>
      <w:proofErr w:type="spellEnd"/>
      <w:r w:rsidRPr="00C54834">
        <w:t xml:space="preserve"> given</w:t>
      </w:r>
      <w:r>
        <w:t xml:space="preserve"> in TS 38.213 </w:t>
      </w:r>
      <w:r>
        <w:fldChar w:fldCharType="begin"/>
      </w:r>
      <w:r>
        <w:instrText xml:space="preserve"> REF _Ref71576254 \w \h </w:instrText>
      </w:r>
      <w:r>
        <w:fldChar w:fldCharType="separate"/>
      </w:r>
      <w:r w:rsidR="000E3397">
        <w:t>[4]</w:t>
      </w:r>
      <w:r>
        <w:fldChar w:fldCharType="end"/>
      </w:r>
      <w:r w:rsidRPr="00C54834">
        <w:t xml:space="preserve">, </w:t>
      </w:r>
      <w:r w:rsidR="003610E1">
        <w:fldChar w:fldCharType="begin"/>
      </w:r>
      <w:r w:rsidR="003610E1">
        <w:instrText xml:space="preserve"> REF _Ref71626554 \h </w:instrText>
      </w:r>
      <w:r w:rsidR="003610E1">
        <w:fldChar w:fldCharType="separate"/>
      </w:r>
      <w:r w:rsidR="000E3397">
        <w:t xml:space="preserve">Table </w:t>
      </w:r>
      <w:r w:rsidR="000E3397">
        <w:rPr>
          <w:noProof/>
        </w:rPr>
        <w:t>2</w:t>
      </w:r>
      <w:r w:rsidR="003610E1">
        <w:fldChar w:fldCharType="end"/>
      </w:r>
      <w:r w:rsidR="003610E1">
        <w:t xml:space="preserve"> </w:t>
      </w:r>
      <w:r w:rsidRPr="00C54834">
        <w:t>shows the minimu</w:t>
      </w:r>
      <w:r>
        <w:t>m</w:t>
      </w:r>
      <w:r w:rsidRPr="00C54834">
        <w:t xml:space="preserve"> </w:t>
      </w:r>
      <w:proofErr w:type="spellStart"/>
      <w:r w:rsidRPr="00C54834">
        <w:t>T_delta,index</w:t>
      </w:r>
      <w:proofErr w:type="spellEnd"/>
      <w:r w:rsidRPr="00C54834">
        <w:t xml:space="preserve"> per FR and </w:t>
      </w:r>
      <w:proofErr w:type="spellStart"/>
      <w:r w:rsidRPr="00C54834">
        <w:t>N_TA</w:t>
      </w:r>
      <w:r w:rsidRPr="00160CAF">
        <w:rPr>
          <w:iCs/>
        </w:rPr>
        <w:t>,</w:t>
      </w:r>
      <w:r w:rsidRPr="00C54834">
        <w:t>offset</w:t>
      </w:r>
      <w:proofErr w:type="spellEnd"/>
      <w:r w:rsidRPr="00C54834">
        <w:t>.</w:t>
      </w:r>
    </w:p>
    <w:p w14:paraId="4625D3D6" w14:textId="79DC371A" w:rsidR="000D26CF" w:rsidRDefault="000D26CF" w:rsidP="000D26CF">
      <w:pPr>
        <w:pStyle w:val="Caption"/>
        <w:jc w:val="center"/>
      </w:pPr>
      <w:bookmarkStart w:id="10" w:name="_Ref71626554"/>
      <w:r>
        <w:t xml:space="preserve">Table </w:t>
      </w:r>
      <w:r>
        <w:fldChar w:fldCharType="begin"/>
      </w:r>
      <w:r>
        <w:instrText xml:space="preserve"> SEQ Table \* ARABIC </w:instrText>
      </w:r>
      <w:r>
        <w:fldChar w:fldCharType="separate"/>
      </w:r>
      <w:r w:rsidR="000E3397">
        <w:rPr>
          <w:noProof/>
        </w:rPr>
        <w:t>2</w:t>
      </w:r>
      <w:r>
        <w:fldChar w:fldCharType="end"/>
      </w:r>
      <w:bookmarkEnd w:id="10"/>
      <w:r>
        <w:t xml:space="preserve">: </w:t>
      </w:r>
      <w:r w:rsidRPr="00B04931">
        <w:t xml:space="preserve">Minimum </w:t>
      </w:r>
      <w:proofErr w:type="spellStart"/>
      <w:r w:rsidRPr="00B04931">
        <w:t>T_delta_index</w:t>
      </w:r>
      <w:proofErr w:type="spellEnd"/>
      <w:r w:rsidRPr="00B04931">
        <w:t xml:space="preserve"> (MAC CE)</w:t>
      </w:r>
      <w:r w:rsidR="00463792">
        <w:t xml:space="preserve"> to support Case-6 and </w:t>
      </w:r>
      <w:r w:rsidR="00A76708">
        <w:t>C</w:t>
      </w:r>
      <w:r w:rsidR="00463792">
        <w:t>ase-7 timing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181"/>
        <w:gridCol w:w="1686"/>
      </w:tblGrid>
      <w:tr w:rsidR="000D26CF" w:rsidRPr="00C82FC4" w14:paraId="0855C092" w14:textId="77777777" w:rsidTr="00024A4E">
        <w:trPr>
          <w:jc w:val="center"/>
        </w:trPr>
        <w:tc>
          <w:tcPr>
            <w:tcW w:w="0" w:type="auto"/>
            <w:tcBorders>
              <w:top w:val="nil"/>
              <w:left w:val="nil"/>
            </w:tcBorders>
            <w:shd w:val="clear" w:color="auto" w:fill="auto"/>
          </w:tcPr>
          <w:p w14:paraId="343CA457" w14:textId="77777777" w:rsidR="000D26CF" w:rsidRPr="00C82FC4" w:rsidRDefault="000D26CF" w:rsidP="00024A4E">
            <w:pPr>
              <w:jc w:val="both"/>
              <w:rPr>
                <w:rFonts w:ascii="Calibri" w:hAnsi="Calibri" w:cs="Calibri"/>
              </w:rPr>
            </w:pPr>
          </w:p>
        </w:tc>
        <w:tc>
          <w:tcPr>
            <w:tcW w:w="0" w:type="auto"/>
            <w:shd w:val="clear" w:color="auto" w:fill="auto"/>
          </w:tcPr>
          <w:p w14:paraId="15797127" w14:textId="77777777" w:rsidR="000D26CF" w:rsidRPr="00C82FC4" w:rsidRDefault="000D26CF" w:rsidP="00024A4E">
            <w:pPr>
              <w:jc w:val="both"/>
              <w:rPr>
                <w:rFonts w:ascii="Calibri" w:hAnsi="Calibri" w:cs="Calibri"/>
              </w:rPr>
            </w:pPr>
            <w:proofErr w:type="spellStart"/>
            <w:r>
              <w:rPr>
                <w:rFonts w:ascii="Calibri" w:hAnsi="Calibri" w:cs="Calibri"/>
              </w:rPr>
              <w:t>N_</w:t>
            </w:r>
            <w:proofErr w:type="gramStart"/>
            <w:r>
              <w:rPr>
                <w:rFonts w:ascii="Calibri" w:hAnsi="Calibri" w:cs="Calibri"/>
              </w:rPr>
              <w:t>TA,offset</w:t>
            </w:r>
            <w:proofErr w:type="spellEnd"/>
            <w:proofErr w:type="gramEnd"/>
          </w:p>
        </w:tc>
        <w:tc>
          <w:tcPr>
            <w:tcW w:w="0" w:type="auto"/>
            <w:shd w:val="clear" w:color="auto" w:fill="auto"/>
          </w:tcPr>
          <w:p w14:paraId="6EF6ACF2" w14:textId="77777777" w:rsidR="000D26CF" w:rsidRPr="00C82FC4" w:rsidRDefault="000D26CF" w:rsidP="00024A4E">
            <w:pPr>
              <w:jc w:val="both"/>
              <w:rPr>
                <w:rFonts w:ascii="Calibri" w:hAnsi="Calibri" w:cs="Calibri"/>
              </w:rPr>
            </w:pPr>
            <w:r w:rsidRPr="00C82FC4">
              <w:rPr>
                <w:rFonts w:ascii="Calibri" w:hAnsi="Calibri" w:cs="Calibri"/>
              </w:rPr>
              <w:t xml:space="preserve">Min </w:t>
            </w:r>
            <w:proofErr w:type="spellStart"/>
            <w:r w:rsidRPr="00C82FC4">
              <w:rPr>
                <w:rFonts w:ascii="Calibri" w:hAnsi="Calibri" w:cs="Calibri"/>
              </w:rPr>
              <w:t>T_</w:t>
            </w:r>
            <w:proofErr w:type="gramStart"/>
            <w:r w:rsidRPr="00C82FC4">
              <w:rPr>
                <w:rFonts w:ascii="Calibri" w:hAnsi="Calibri" w:cs="Calibri"/>
              </w:rPr>
              <w:t>delta</w:t>
            </w:r>
            <w:r>
              <w:rPr>
                <w:rFonts w:ascii="Calibri" w:hAnsi="Calibri" w:cs="Calibri"/>
              </w:rPr>
              <w:t>,index</w:t>
            </w:r>
            <w:proofErr w:type="spellEnd"/>
            <w:proofErr w:type="gramEnd"/>
          </w:p>
        </w:tc>
      </w:tr>
      <w:tr w:rsidR="000D26CF" w:rsidRPr="00C82FC4" w14:paraId="7C73959A" w14:textId="77777777" w:rsidTr="00024A4E">
        <w:trPr>
          <w:jc w:val="center"/>
        </w:trPr>
        <w:tc>
          <w:tcPr>
            <w:tcW w:w="0" w:type="auto"/>
            <w:vMerge w:val="restart"/>
            <w:shd w:val="clear" w:color="auto" w:fill="auto"/>
          </w:tcPr>
          <w:p w14:paraId="5CC94FDE" w14:textId="77777777" w:rsidR="000D26CF" w:rsidRPr="00B66BF1" w:rsidRDefault="000D26CF" w:rsidP="00024A4E">
            <w:pPr>
              <w:jc w:val="both"/>
              <w:rPr>
                <w:rFonts w:ascii="Calibri" w:hAnsi="Calibri" w:cs="Calibri"/>
              </w:rPr>
            </w:pPr>
            <w:r>
              <w:rPr>
                <w:rFonts w:ascii="Calibri" w:hAnsi="Calibri" w:cs="Calibri"/>
              </w:rPr>
              <w:t>FR1</w:t>
            </w:r>
          </w:p>
        </w:tc>
        <w:tc>
          <w:tcPr>
            <w:tcW w:w="0" w:type="auto"/>
            <w:shd w:val="clear" w:color="auto" w:fill="auto"/>
            <w:vAlign w:val="bottom"/>
          </w:tcPr>
          <w:p w14:paraId="3209E5A5" w14:textId="77777777" w:rsidR="000D26CF" w:rsidRPr="00C82FC4" w:rsidDel="00B37B10" w:rsidRDefault="000D26CF" w:rsidP="00024A4E">
            <w:pPr>
              <w:jc w:val="both"/>
              <w:rPr>
                <w:rFonts w:ascii="Calibri" w:hAnsi="Calibri" w:cs="Calibri"/>
                <w:color w:val="000000"/>
              </w:rPr>
            </w:pPr>
            <w:r>
              <w:rPr>
                <w:rFonts w:ascii="Calibri" w:hAnsi="Calibri" w:cs="Calibri"/>
                <w:color w:val="000000"/>
              </w:rPr>
              <w:t>25600</w:t>
            </w:r>
          </w:p>
        </w:tc>
        <w:tc>
          <w:tcPr>
            <w:tcW w:w="0" w:type="auto"/>
            <w:shd w:val="clear" w:color="auto" w:fill="auto"/>
          </w:tcPr>
          <w:p w14:paraId="40BBB74B" w14:textId="77777777" w:rsidR="000D26CF" w:rsidRPr="00C82FC4" w:rsidRDefault="000D26CF" w:rsidP="00024A4E">
            <w:pPr>
              <w:jc w:val="both"/>
              <w:rPr>
                <w:rFonts w:ascii="Calibri" w:hAnsi="Calibri" w:cs="Calibri"/>
              </w:rPr>
            </w:pPr>
            <w:r>
              <w:rPr>
                <w:rFonts w:ascii="Calibri" w:hAnsi="Calibri" w:cs="Calibri"/>
                <w:color w:val="000000"/>
              </w:rPr>
              <w:t>1302</w:t>
            </w:r>
          </w:p>
        </w:tc>
      </w:tr>
      <w:tr w:rsidR="000D26CF" w:rsidRPr="00C82FC4" w14:paraId="3E0640C3" w14:textId="77777777" w:rsidTr="00024A4E">
        <w:trPr>
          <w:jc w:val="center"/>
        </w:trPr>
        <w:tc>
          <w:tcPr>
            <w:tcW w:w="0" w:type="auto"/>
            <w:vMerge/>
            <w:shd w:val="clear" w:color="auto" w:fill="auto"/>
          </w:tcPr>
          <w:p w14:paraId="793F4195" w14:textId="77777777" w:rsidR="000D26CF" w:rsidRPr="00C82FC4" w:rsidRDefault="000D26CF" w:rsidP="00024A4E">
            <w:pPr>
              <w:jc w:val="both"/>
              <w:rPr>
                <w:rFonts w:ascii="Calibri" w:hAnsi="Calibri" w:cs="Calibri"/>
              </w:rPr>
            </w:pPr>
          </w:p>
        </w:tc>
        <w:tc>
          <w:tcPr>
            <w:tcW w:w="0" w:type="auto"/>
            <w:shd w:val="clear" w:color="auto" w:fill="auto"/>
            <w:vAlign w:val="bottom"/>
          </w:tcPr>
          <w:p w14:paraId="0AC3EF16" w14:textId="77777777" w:rsidR="000D26CF" w:rsidRPr="00C82FC4" w:rsidDel="00F94ED9" w:rsidRDefault="000D26CF" w:rsidP="00024A4E">
            <w:pPr>
              <w:jc w:val="both"/>
              <w:rPr>
                <w:rFonts w:ascii="Calibri" w:hAnsi="Calibri" w:cs="Calibri"/>
              </w:rPr>
            </w:pPr>
            <w:r>
              <w:rPr>
                <w:rFonts w:ascii="Calibri" w:hAnsi="Calibri" w:cs="Calibri"/>
                <w:color w:val="000000"/>
              </w:rPr>
              <w:t>39926</w:t>
            </w:r>
          </w:p>
        </w:tc>
        <w:tc>
          <w:tcPr>
            <w:tcW w:w="0" w:type="auto"/>
            <w:shd w:val="clear" w:color="auto" w:fill="auto"/>
          </w:tcPr>
          <w:p w14:paraId="19B7DF82" w14:textId="77777777" w:rsidR="000D26CF" w:rsidRPr="00C82FC4" w:rsidRDefault="000D26CF" w:rsidP="00024A4E">
            <w:pPr>
              <w:jc w:val="both"/>
              <w:rPr>
                <w:rFonts w:ascii="Calibri" w:hAnsi="Calibri" w:cs="Calibri"/>
              </w:rPr>
            </w:pPr>
            <w:r>
              <w:rPr>
                <w:rFonts w:ascii="Calibri" w:hAnsi="Calibri" w:cs="Calibri"/>
              </w:rPr>
              <w:t>1413,9</w:t>
            </w:r>
          </w:p>
        </w:tc>
      </w:tr>
      <w:tr w:rsidR="000D26CF" w:rsidRPr="00C82FC4" w14:paraId="662B67D1" w14:textId="77777777" w:rsidTr="00024A4E">
        <w:trPr>
          <w:jc w:val="center"/>
        </w:trPr>
        <w:tc>
          <w:tcPr>
            <w:tcW w:w="0" w:type="auto"/>
            <w:shd w:val="clear" w:color="auto" w:fill="auto"/>
          </w:tcPr>
          <w:p w14:paraId="10EF5E12" w14:textId="77777777" w:rsidR="000D26CF" w:rsidRPr="00C82FC4" w:rsidRDefault="000D26CF" w:rsidP="00024A4E">
            <w:pPr>
              <w:jc w:val="both"/>
              <w:rPr>
                <w:rFonts w:ascii="Calibri" w:hAnsi="Calibri" w:cs="Calibri"/>
              </w:rPr>
            </w:pPr>
            <w:r>
              <w:rPr>
                <w:rFonts w:ascii="Calibri" w:hAnsi="Calibri" w:cs="Calibri"/>
              </w:rPr>
              <w:t>FR2</w:t>
            </w:r>
          </w:p>
        </w:tc>
        <w:tc>
          <w:tcPr>
            <w:tcW w:w="0" w:type="auto"/>
            <w:shd w:val="clear" w:color="auto" w:fill="auto"/>
            <w:vAlign w:val="bottom"/>
          </w:tcPr>
          <w:p w14:paraId="49F89B3A" w14:textId="77777777" w:rsidR="000D26CF" w:rsidRPr="00C82FC4" w:rsidDel="00F94ED9" w:rsidRDefault="000D26CF" w:rsidP="00024A4E">
            <w:pPr>
              <w:jc w:val="both"/>
              <w:rPr>
                <w:rFonts w:ascii="Calibri" w:hAnsi="Calibri" w:cs="Calibri"/>
              </w:rPr>
            </w:pPr>
            <w:r w:rsidRPr="0039537E">
              <w:rPr>
                <w:rFonts w:ascii="Calibri" w:hAnsi="Calibri" w:cs="Calibri"/>
              </w:rPr>
              <w:t>13792</w:t>
            </w:r>
          </w:p>
        </w:tc>
        <w:tc>
          <w:tcPr>
            <w:tcW w:w="0" w:type="auto"/>
            <w:shd w:val="clear" w:color="auto" w:fill="auto"/>
          </w:tcPr>
          <w:p w14:paraId="6167CCDF" w14:textId="77777777" w:rsidR="000D26CF" w:rsidRPr="00C82FC4" w:rsidRDefault="000D26CF" w:rsidP="00024A4E">
            <w:pPr>
              <w:jc w:val="both"/>
              <w:rPr>
                <w:rFonts w:ascii="Calibri" w:hAnsi="Calibri" w:cs="Calibri"/>
              </w:rPr>
            </w:pPr>
            <w:r>
              <w:rPr>
                <w:rFonts w:ascii="Calibri" w:hAnsi="Calibri" w:cs="Calibri"/>
                <w:color w:val="000000"/>
              </w:rPr>
              <w:t>767,5</w:t>
            </w:r>
          </w:p>
        </w:tc>
      </w:tr>
    </w:tbl>
    <w:p w14:paraId="1F2A693D" w14:textId="77777777" w:rsidR="00524601" w:rsidRDefault="00524601" w:rsidP="008044AD">
      <w:pPr>
        <w:rPr>
          <w:rFonts w:cs="Arial"/>
          <w:lang w:val="en-GB" w:eastAsia="ja-JP"/>
        </w:rPr>
      </w:pPr>
    </w:p>
    <w:p w14:paraId="12B7E955" w14:textId="4E4FC1C5" w:rsidR="008044AD" w:rsidRDefault="005E3411" w:rsidP="003236FD">
      <w:pPr>
        <w:jc w:val="both"/>
        <w:rPr>
          <w:rFonts w:cs="Arial"/>
          <w:lang w:val="en-GB" w:eastAsia="ja-JP"/>
        </w:rPr>
      </w:pPr>
      <w:r>
        <w:rPr>
          <w:rFonts w:cs="Arial"/>
          <w:lang w:val="en-GB" w:eastAsia="ja-JP"/>
        </w:rPr>
        <w:t>Alt</w:t>
      </w:r>
      <w:r w:rsidR="003610E1">
        <w:rPr>
          <w:rFonts w:cs="Arial"/>
          <w:lang w:val="en-GB" w:eastAsia="ja-JP"/>
        </w:rPr>
        <w:t xml:space="preserve">hough in current TS 38.321 </w:t>
      </w:r>
      <w:r w:rsidR="003610E1">
        <w:rPr>
          <w:rFonts w:cs="Arial"/>
          <w:lang w:val="en-GB" w:eastAsia="ja-JP"/>
        </w:rPr>
        <w:fldChar w:fldCharType="begin"/>
      </w:r>
      <w:r w:rsidR="003610E1">
        <w:rPr>
          <w:rFonts w:cs="Arial"/>
          <w:lang w:val="en-GB" w:eastAsia="ja-JP"/>
        </w:rPr>
        <w:instrText xml:space="preserve"> REF _Ref71576756 \w \h </w:instrText>
      </w:r>
      <w:r w:rsidR="003610E1">
        <w:rPr>
          <w:rFonts w:cs="Arial"/>
          <w:lang w:val="en-GB" w:eastAsia="ja-JP"/>
        </w:rPr>
      </w:r>
      <w:r w:rsidR="003610E1">
        <w:rPr>
          <w:rFonts w:cs="Arial"/>
          <w:lang w:val="en-GB" w:eastAsia="ja-JP"/>
        </w:rPr>
        <w:fldChar w:fldCharType="separate"/>
      </w:r>
      <w:r w:rsidR="000E3397">
        <w:rPr>
          <w:rFonts w:cs="Arial"/>
          <w:lang w:val="en-GB" w:eastAsia="ja-JP"/>
        </w:rPr>
        <w:t>[6]</w:t>
      </w:r>
      <w:r w:rsidR="003610E1">
        <w:rPr>
          <w:rFonts w:cs="Arial"/>
          <w:lang w:val="en-GB" w:eastAsia="ja-JP"/>
        </w:rPr>
        <w:fldChar w:fldCharType="end"/>
      </w:r>
      <w:r w:rsidR="003610E1">
        <w:rPr>
          <w:rFonts w:cs="Arial"/>
          <w:lang w:val="en-GB" w:eastAsia="ja-JP"/>
        </w:rPr>
        <w:t xml:space="preserve"> the maximum number for </w:t>
      </w:r>
      <w:proofErr w:type="spellStart"/>
      <w:r w:rsidR="003610E1">
        <w:rPr>
          <w:rFonts w:cs="Arial"/>
          <w:lang w:val="en-GB" w:eastAsia="ja-JP"/>
        </w:rPr>
        <w:t>T_delta,index</w:t>
      </w:r>
      <w:proofErr w:type="spellEnd"/>
      <w:r w:rsidR="003610E1">
        <w:rPr>
          <w:rFonts w:cs="Arial"/>
          <w:lang w:val="en-GB" w:eastAsia="ja-JP"/>
        </w:rPr>
        <w:t xml:space="preserve"> is 1199, </w:t>
      </w:r>
      <w:proofErr w:type="spellStart"/>
      <w:r w:rsidR="003610E1">
        <w:rPr>
          <w:rFonts w:cs="Arial"/>
          <w:lang w:val="en-GB" w:eastAsia="ja-JP"/>
        </w:rPr>
        <w:t>T_delta,index</w:t>
      </w:r>
      <w:proofErr w:type="spellEnd"/>
      <w:r w:rsidR="003610E1">
        <w:rPr>
          <w:rFonts w:cs="Arial"/>
          <w:lang w:val="en-GB" w:eastAsia="ja-JP"/>
        </w:rPr>
        <w:t xml:space="preserve"> is signalled in an 11-bit format. This is sufficient to also support the minimum values shown in </w:t>
      </w:r>
      <w:r w:rsidR="003610E1">
        <w:rPr>
          <w:rFonts w:cs="Arial"/>
          <w:lang w:val="en-GB" w:eastAsia="ja-JP"/>
        </w:rPr>
        <w:fldChar w:fldCharType="begin"/>
      </w:r>
      <w:r w:rsidR="003610E1">
        <w:rPr>
          <w:rFonts w:cs="Arial"/>
          <w:lang w:val="en-GB" w:eastAsia="ja-JP"/>
        </w:rPr>
        <w:instrText xml:space="preserve"> REF _Ref71626554 \h </w:instrText>
      </w:r>
      <w:r w:rsidR="003610E1">
        <w:rPr>
          <w:rFonts w:cs="Arial"/>
          <w:lang w:val="en-GB" w:eastAsia="ja-JP"/>
        </w:rPr>
      </w:r>
      <w:r w:rsidR="003610E1">
        <w:rPr>
          <w:rFonts w:cs="Arial"/>
          <w:lang w:val="en-GB" w:eastAsia="ja-JP"/>
        </w:rPr>
        <w:fldChar w:fldCharType="separate"/>
      </w:r>
      <w:r w:rsidR="000E3397">
        <w:t xml:space="preserve">Table </w:t>
      </w:r>
      <w:r w:rsidR="000E3397">
        <w:rPr>
          <w:noProof/>
        </w:rPr>
        <w:t>2</w:t>
      </w:r>
      <w:r w:rsidR="003610E1">
        <w:rPr>
          <w:rFonts w:cs="Arial"/>
          <w:lang w:val="en-GB" w:eastAsia="ja-JP"/>
        </w:rPr>
        <w:fldChar w:fldCharType="end"/>
      </w:r>
      <w:r w:rsidR="003610E1">
        <w:t>.</w:t>
      </w:r>
    </w:p>
    <w:p w14:paraId="30EC02D0" w14:textId="25E40B29" w:rsidR="003C7F10" w:rsidRPr="003C7F10" w:rsidRDefault="003610E1" w:rsidP="00074C07">
      <w:pPr>
        <w:pStyle w:val="Observation"/>
        <w:rPr>
          <w:rFonts w:cs="Arial"/>
        </w:rPr>
      </w:pPr>
      <w:bookmarkStart w:id="11" w:name="_Toc61903593"/>
      <w:bookmarkStart w:id="12" w:name="_Toc71663436"/>
      <w:r>
        <w:t>The minimum</w:t>
      </w:r>
      <w:r w:rsidRPr="0039537E">
        <w:t xml:space="preserve"> </w:t>
      </w:r>
      <w:r>
        <w:t xml:space="preserve">index </w:t>
      </w:r>
      <w:r w:rsidRPr="0039537E">
        <w:t xml:space="preserve">values </w:t>
      </w:r>
      <w:r>
        <w:t xml:space="preserve">for </w:t>
      </w:r>
      <w:proofErr w:type="spellStart"/>
      <w:r>
        <w:t>T_</w:t>
      </w:r>
      <w:proofErr w:type="gramStart"/>
      <w:r>
        <w:t>delta,index</w:t>
      </w:r>
      <w:proofErr w:type="spellEnd"/>
      <w:proofErr w:type="gramEnd"/>
      <w:r>
        <w:t xml:space="preserve"> </w:t>
      </w:r>
      <w:r w:rsidRPr="0039537E">
        <w:t xml:space="preserve">are supported by current specification of </w:t>
      </w:r>
      <w:r>
        <w:t xml:space="preserve">the </w:t>
      </w:r>
      <w:proofErr w:type="spellStart"/>
      <w:r w:rsidRPr="0039537E">
        <w:t>T_delta</w:t>
      </w:r>
      <w:proofErr w:type="spellEnd"/>
      <w:r w:rsidRPr="0039537E">
        <w:t xml:space="preserve"> MAC CE signaling format</w:t>
      </w:r>
      <w:r>
        <w:t>.</w:t>
      </w:r>
      <w:bookmarkEnd w:id="11"/>
      <w:bookmarkEnd w:id="12"/>
    </w:p>
    <w:p w14:paraId="1582FE67" w14:textId="7C4A20F2" w:rsidR="00151675" w:rsidRDefault="00151675" w:rsidP="003236FD">
      <w:pPr>
        <w:jc w:val="both"/>
        <w:rPr>
          <w:rFonts w:cs="Arial"/>
          <w:lang w:val="en-GB" w:eastAsia="ja-JP"/>
        </w:rPr>
      </w:pPr>
      <w:r>
        <w:rPr>
          <w:rFonts w:cs="Arial"/>
          <w:lang w:val="en-GB" w:eastAsia="ja-JP"/>
        </w:rPr>
        <w:t xml:space="preserve">In a similar </w:t>
      </w:r>
      <w:r w:rsidR="00823A29">
        <w:rPr>
          <w:rFonts w:cs="Arial"/>
          <w:lang w:val="en-GB" w:eastAsia="ja-JP"/>
        </w:rPr>
        <w:t>way</w:t>
      </w:r>
      <w:r>
        <w:rPr>
          <w:rFonts w:cs="Arial"/>
          <w:lang w:val="en-GB" w:eastAsia="ja-JP"/>
        </w:rPr>
        <w:t xml:space="preserve"> as to derive ranges of </w:t>
      </w:r>
      <w:proofErr w:type="spellStart"/>
      <w:r>
        <w:rPr>
          <w:rFonts w:cs="Arial"/>
          <w:lang w:val="en-GB" w:eastAsia="ja-JP"/>
        </w:rPr>
        <w:t>T_delta,index</w:t>
      </w:r>
      <w:proofErr w:type="spellEnd"/>
      <w:r>
        <w:rPr>
          <w:rFonts w:cs="Arial"/>
          <w:lang w:val="en-GB" w:eastAsia="ja-JP"/>
        </w:rPr>
        <w:t xml:space="preserve"> as function of T_PN</w:t>
      </w:r>
      <w:r w:rsidR="00823A29">
        <w:rPr>
          <w:rFonts w:cs="Arial"/>
          <w:lang w:val="en-GB" w:eastAsia="ja-JP"/>
        </w:rPr>
        <w:t xml:space="preserve"> (</w:t>
      </w:r>
      <w:r>
        <w:rPr>
          <w:rFonts w:cs="Arial"/>
          <w:lang w:val="en-GB" w:eastAsia="ja-JP"/>
        </w:rPr>
        <w:t>the parent backhaul link propagation delay</w:t>
      </w:r>
      <w:r w:rsidR="00823A29">
        <w:rPr>
          <w:rFonts w:cs="Arial"/>
          <w:lang w:val="en-GB" w:eastAsia="ja-JP"/>
        </w:rPr>
        <w:t>)</w:t>
      </w:r>
      <w:r>
        <w:rPr>
          <w:rFonts w:cs="Arial"/>
          <w:lang w:val="en-GB" w:eastAsia="ja-JP"/>
        </w:rPr>
        <w:t xml:space="preserve">, one can derive the propagation delay (or more interestingly the equivalent backhaul distance) for </w:t>
      </w:r>
      <w:r w:rsidR="00491508">
        <w:rPr>
          <w:rFonts w:cs="Arial"/>
          <w:lang w:val="en-GB" w:eastAsia="ja-JP"/>
        </w:rPr>
        <w:t xml:space="preserve">a </w:t>
      </w:r>
      <w:r>
        <w:rPr>
          <w:rFonts w:cs="Arial"/>
          <w:lang w:val="en-GB" w:eastAsia="ja-JP"/>
        </w:rPr>
        <w:t xml:space="preserve">given </w:t>
      </w:r>
      <w:proofErr w:type="spellStart"/>
      <w:r>
        <w:rPr>
          <w:rFonts w:cs="Arial"/>
          <w:lang w:val="en-GB" w:eastAsia="ja-JP"/>
        </w:rPr>
        <w:t>T_delta,index</w:t>
      </w:r>
      <w:proofErr w:type="spellEnd"/>
      <w:r>
        <w:rPr>
          <w:rFonts w:cs="Arial"/>
          <w:lang w:val="en-GB" w:eastAsia="ja-JP"/>
        </w:rPr>
        <w:t xml:space="preserve">. </w:t>
      </w:r>
      <w:r w:rsidR="00141A3E">
        <w:rPr>
          <w:rFonts w:cs="Arial"/>
          <w:lang w:val="en-GB" w:eastAsia="ja-JP"/>
        </w:rPr>
        <w:fldChar w:fldCharType="begin"/>
      </w:r>
      <w:r w:rsidR="00141A3E">
        <w:rPr>
          <w:rFonts w:cs="Arial"/>
          <w:lang w:val="en-GB" w:eastAsia="ja-JP"/>
        </w:rPr>
        <w:instrText xml:space="preserve"> REF _Ref71637037 \h </w:instrText>
      </w:r>
      <w:r w:rsidR="00141A3E">
        <w:rPr>
          <w:rFonts w:cs="Arial"/>
          <w:lang w:val="en-GB" w:eastAsia="ja-JP"/>
        </w:rPr>
      </w:r>
      <w:r w:rsidR="00141A3E">
        <w:rPr>
          <w:rFonts w:cs="Arial"/>
          <w:lang w:val="en-GB" w:eastAsia="ja-JP"/>
        </w:rPr>
        <w:fldChar w:fldCharType="separate"/>
      </w:r>
      <w:r w:rsidR="000E3397">
        <w:t xml:space="preserve">Table </w:t>
      </w:r>
      <w:r w:rsidR="000E3397">
        <w:rPr>
          <w:noProof/>
        </w:rPr>
        <w:t>3</w:t>
      </w:r>
      <w:r w:rsidR="00141A3E">
        <w:rPr>
          <w:rFonts w:cs="Arial"/>
          <w:lang w:val="en-GB" w:eastAsia="ja-JP"/>
        </w:rPr>
        <w:fldChar w:fldCharType="end"/>
      </w:r>
      <w:r w:rsidR="00141A3E">
        <w:rPr>
          <w:rFonts w:cs="Arial"/>
          <w:lang w:val="en-GB" w:eastAsia="ja-JP"/>
        </w:rPr>
        <w:t xml:space="preserve"> </w:t>
      </w:r>
      <w:r w:rsidR="00D35329" w:rsidRPr="00D35329">
        <w:rPr>
          <w:rFonts w:cs="Arial"/>
          <w:lang w:val="en-GB" w:eastAsia="ja-JP"/>
        </w:rPr>
        <w:t xml:space="preserve">shows </w:t>
      </w:r>
      <w:r w:rsidR="00D35329">
        <w:rPr>
          <w:rFonts w:cs="Arial"/>
          <w:lang w:val="en-GB" w:eastAsia="ja-JP"/>
        </w:rPr>
        <w:t xml:space="preserve">the </w:t>
      </w:r>
      <w:r w:rsidR="00D35329" w:rsidRPr="00D35329">
        <w:rPr>
          <w:rFonts w:cs="Arial"/>
          <w:lang w:val="en-GB" w:eastAsia="ja-JP"/>
        </w:rPr>
        <w:t xml:space="preserve">maximum BH link distances that could be supported without change of the current </w:t>
      </w:r>
      <w:proofErr w:type="spellStart"/>
      <w:r w:rsidR="00D35329" w:rsidRPr="00D35329">
        <w:rPr>
          <w:rFonts w:cs="Arial"/>
          <w:lang w:val="en-GB" w:eastAsia="ja-JP"/>
        </w:rPr>
        <w:t>T_</w:t>
      </w:r>
      <w:proofErr w:type="gramStart"/>
      <w:r w:rsidR="00D35329" w:rsidRPr="00D35329">
        <w:rPr>
          <w:rFonts w:cs="Arial"/>
          <w:lang w:val="en-GB" w:eastAsia="ja-JP"/>
        </w:rPr>
        <w:t>delta,index</w:t>
      </w:r>
      <w:proofErr w:type="spellEnd"/>
      <w:proofErr w:type="gramEnd"/>
      <w:r w:rsidR="00D35329" w:rsidRPr="00D35329">
        <w:rPr>
          <w:rFonts w:cs="Arial"/>
          <w:lang w:val="en-GB" w:eastAsia="ja-JP"/>
        </w:rPr>
        <w:t xml:space="preserve"> MAC CE specification,</w:t>
      </w:r>
      <w:r w:rsidR="00D35329">
        <w:rPr>
          <w:rFonts w:cs="Arial"/>
          <w:lang w:val="en-GB" w:eastAsia="ja-JP"/>
        </w:rPr>
        <w:t xml:space="preserve"> i.e.</w:t>
      </w:r>
      <w:r w:rsidR="00141A3E">
        <w:rPr>
          <w:rFonts w:cs="Arial"/>
          <w:lang w:val="en-GB" w:eastAsia="ja-JP"/>
        </w:rPr>
        <w:t>,</w:t>
      </w:r>
      <w:r w:rsidR="00D35329" w:rsidRPr="00D35329">
        <w:rPr>
          <w:rFonts w:cs="Arial"/>
          <w:lang w:val="en-GB" w:eastAsia="ja-JP"/>
        </w:rPr>
        <w:t xml:space="preserve"> assuming </w:t>
      </w:r>
      <w:proofErr w:type="spellStart"/>
      <w:r w:rsidR="00D35329" w:rsidRPr="00D35329">
        <w:rPr>
          <w:rFonts w:cs="Arial"/>
          <w:lang w:val="en-GB" w:eastAsia="ja-JP"/>
        </w:rPr>
        <w:t>T_delta,index</w:t>
      </w:r>
      <w:proofErr w:type="spellEnd"/>
      <w:r w:rsidR="00D35329" w:rsidRPr="00D35329">
        <w:rPr>
          <w:rFonts w:cs="Arial"/>
          <w:lang w:val="en-GB" w:eastAsia="ja-JP"/>
        </w:rPr>
        <w:t xml:space="preserve"> = 2047 </w:t>
      </w:r>
      <w:r w:rsidR="00D35329">
        <w:rPr>
          <w:rFonts w:cs="Arial"/>
          <w:lang w:val="en-GB" w:eastAsia="ja-JP"/>
        </w:rPr>
        <w:t xml:space="preserve">(full 11 bit range) </w:t>
      </w:r>
      <w:r w:rsidR="00D35329" w:rsidRPr="00D35329">
        <w:rPr>
          <w:rFonts w:cs="Arial"/>
          <w:lang w:val="en-GB" w:eastAsia="ja-JP"/>
        </w:rPr>
        <w:t>would be valid</w:t>
      </w:r>
      <w:r w:rsidR="00D35329">
        <w:rPr>
          <w:rFonts w:cs="Arial"/>
          <w:lang w:val="en-GB" w:eastAsia="ja-JP"/>
        </w:rPr>
        <w:t>.</w:t>
      </w:r>
    </w:p>
    <w:p w14:paraId="54B6358B" w14:textId="15E08936" w:rsidR="00151675" w:rsidRDefault="00151675" w:rsidP="00151675">
      <w:pPr>
        <w:pStyle w:val="Caption"/>
        <w:jc w:val="center"/>
      </w:pPr>
      <w:bookmarkStart w:id="13" w:name="_Ref71637037"/>
      <w:r>
        <w:t xml:space="preserve">Table </w:t>
      </w:r>
      <w:r>
        <w:fldChar w:fldCharType="begin"/>
      </w:r>
      <w:r>
        <w:instrText xml:space="preserve"> SEQ Table \* ARABIC </w:instrText>
      </w:r>
      <w:r>
        <w:fldChar w:fldCharType="separate"/>
      </w:r>
      <w:r w:rsidR="000E3397">
        <w:rPr>
          <w:noProof/>
        </w:rPr>
        <w:t>3</w:t>
      </w:r>
      <w:r>
        <w:fldChar w:fldCharType="end"/>
      </w:r>
      <w:bookmarkEnd w:id="13"/>
      <w:r>
        <w:t xml:space="preserve">: </w:t>
      </w:r>
      <w:r w:rsidRPr="00E055F9">
        <w:t xml:space="preserve">Maximum link distance assuming </w:t>
      </w:r>
      <w:proofErr w:type="spellStart"/>
      <w:r w:rsidRPr="00E055F9">
        <w:t>T_</w:t>
      </w:r>
      <w:proofErr w:type="gramStart"/>
      <w:r w:rsidRPr="00E055F9">
        <w:t>delta,index</w:t>
      </w:r>
      <w:proofErr w:type="spellEnd"/>
      <w:proofErr w:type="gramEnd"/>
      <w:r w:rsidRPr="00E055F9">
        <w:t xml:space="preserve"> = 2047</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181"/>
        <w:gridCol w:w="1993"/>
      </w:tblGrid>
      <w:tr w:rsidR="00151675" w:rsidRPr="00C82FC4" w14:paraId="3467334E" w14:textId="77777777" w:rsidTr="00024A4E">
        <w:trPr>
          <w:jc w:val="center"/>
        </w:trPr>
        <w:tc>
          <w:tcPr>
            <w:tcW w:w="0" w:type="auto"/>
            <w:shd w:val="clear" w:color="auto" w:fill="auto"/>
          </w:tcPr>
          <w:p w14:paraId="6D30F374" w14:textId="77777777" w:rsidR="00151675" w:rsidRPr="00C82FC4" w:rsidRDefault="00151675" w:rsidP="00024A4E">
            <w:pPr>
              <w:jc w:val="both"/>
              <w:rPr>
                <w:rFonts w:ascii="Calibri" w:hAnsi="Calibri" w:cs="Calibri"/>
              </w:rPr>
            </w:pPr>
          </w:p>
        </w:tc>
        <w:tc>
          <w:tcPr>
            <w:tcW w:w="0" w:type="auto"/>
            <w:shd w:val="clear" w:color="auto" w:fill="auto"/>
          </w:tcPr>
          <w:p w14:paraId="09F8A0CE" w14:textId="77777777" w:rsidR="00151675" w:rsidRPr="00C82FC4" w:rsidRDefault="00151675" w:rsidP="00024A4E">
            <w:pPr>
              <w:jc w:val="both"/>
              <w:rPr>
                <w:rFonts w:ascii="Calibri" w:hAnsi="Calibri" w:cs="Calibri"/>
              </w:rPr>
            </w:pPr>
            <w:proofErr w:type="spellStart"/>
            <w:r>
              <w:rPr>
                <w:rFonts w:ascii="Calibri" w:hAnsi="Calibri" w:cs="Calibri"/>
              </w:rPr>
              <w:t>N_</w:t>
            </w:r>
            <w:proofErr w:type="gramStart"/>
            <w:r>
              <w:rPr>
                <w:rFonts w:ascii="Calibri" w:hAnsi="Calibri" w:cs="Calibri"/>
              </w:rPr>
              <w:t>TA,offset</w:t>
            </w:r>
            <w:proofErr w:type="spellEnd"/>
            <w:proofErr w:type="gramEnd"/>
          </w:p>
        </w:tc>
        <w:tc>
          <w:tcPr>
            <w:tcW w:w="0" w:type="auto"/>
            <w:shd w:val="clear" w:color="auto" w:fill="auto"/>
          </w:tcPr>
          <w:p w14:paraId="223DB576" w14:textId="77777777" w:rsidR="00151675" w:rsidRPr="002516E1" w:rsidRDefault="00151675" w:rsidP="00024A4E">
            <w:pPr>
              <w:jc w:val="both"/>
              <w:rPr>
                <w:rFonts w:ascii="Calibri" w:hAnsi="Calibri" w:cs="Calibri"/>
              </w:rPr>
            </w:pPr>
            <w:r w:rsidRPr="00C82FC4">
              <w:rPr>
                <w:rFonts w:ascii="Calibri" w:hAnsi="Calibri" w:cs="Calibri"/>
              </w:rPr>
              <w:t>M</w:t>
            </w:r>
            <w:r>
              <w:rPr>
                <w:rFonts w:ascii="Calibri" w:hAnsi="Calibri" w:cs="Calibri"/>
              </w:rPr>
              <w:t>ax BH distance [km]</w:t>
            </w:r>
          </w:p>
        </w:tc>
      </w:tr>
      <w:tr w:rsidR="00151675" w:rsidRPr="00C82FC4" w14:paraId="429982F4" w14:textId="77777777" w:rsidTr="00024A4E">
        <w:trPr>
          <w:jc w:val="center"/>
        </w:trPr>
        <w:tc>
          <w:tcPr>
            <w:tcW w:w="0" w:type="auto"/>
            <w:vMerge w:val="restart"/>
            <w:shd w:val="clear" w:color="auto" w:fill="auto"/>
          </w:tcPr>
          <w:p w14:paraId="7627FD17" w14:textId="77777777" w:rsidR="00151675" w:rsidRPr="00C82FC4" w:rsidRDefault="00151675" w:rsidP="00024A4E">
            <w:pPr>
              <w:jc w:val="both"/>
              <w:rPr>
                <w:rFonts w:ascii="Calibri" w:hAnsi="Calibri" w:cs="Calibri"/>
              </w:rPr>
            </w:pPr>
            <w:r>
              <w:rPr>
                <w:rFonts w:ascii="Calibri" w:hAnsi="Calibri" w:cs="Calibri"/>
              </w:rPr>
              <w:t>FR1</w:t>
            </w:r>
          </w:p>
        </w:tc>
        <w:tc>
          <w:tcPr>
            <w:tcW w:w="0" w:type="auto"/>
            <w:shd w:val="clear" w:color="auto" w:fill="auto"/>
            <w:vAlign w:val="bottom"/>
          </w:tcPr>
          <w:p w14:paraId="77255FAD" w14:textId="77777777" w:rsidR="00151675" w:rsidRPr="00C82FC4" w:rsidDel="00B37B10" w:rsidRDefault="00151675" w:rsidP="00024A4E">
            <w:pPr>
              <w:jc w:val="both"/>
              <w:rPr>
                <w:rFonts w:ascii="Calibri" w:hAnsi="Calibri" w:cs="Calibri"/>
                <w:color w:val="000000"/>
              </w:rPr>
            </w:pPr>
            <w:r>
              <w:rPr>
                <w:rFonts w:ascii="Calibri" w:hAnsi="Calibri" w:cs="Calibri"/>
                <w:color w:val="000000"/>
              </w:rPr>
              <w:t>25600</w:t>
            </w:r>
          </w:p>
        </w:tc>
        <w:tc>
          <w:tcPr>
            <w:tcW w:w="0" w:type="auto"/>
            <w:shd w:val="clear" w:color="auto" w:fill="auto"/>
          </w:tcPr>
          <w:p w14:paraId="6FD467A8" w14:textId="77777777" w:rsidR="00151675" w:rsidRPr="002516E1" w:rsidRDefault="00151675" w:rsidP="00024A4E">
            <w:pPr>
              <w:jc w:val="both"/>
              <w:rPr>
                <w:rFonts w:ascii="Calibri" w:hAnsi="Calibri" w:cs="Calibri"/>
              </w:rPr>
            </w:pPr>
            <w:r>
              <w:rPr>
                <w:rFonts w:ascii="Calibri" w:hAnsi="Calibri" w:cs="Calibri"/>
              </w:rPr>
              <w:t>14,5</w:t>
            </w:r>
          </w:p>
        </w:tc>
      </w:tr>
      <w:tr w:rsidR="00151675" w:rsidRPr="00C82FC4" w14:paraId="3A571F2A" w14:textId="77777777" w:rsidTr="00024A4E">
        <w:trPr>
          <w:jc w:val="center"/>
        </w:trPr>
        <w:tc>
          <w:tcPr>
            <w:tcW w:w="0" w:type="auto"/>
            <w:vMerge/>
            <w:shd w:val="clear" w:color="auto" w:fill="auto"/>
          </w:tcPr>
          <w:p w14:paraId="1641AC46" w14:textId="77777777" w:rsidR="00151675" w:rsidRPr="00C82FC4" w:rsidRDefault="00151675" w:rsidP="00024A4E">
            <w:pPr>
              <w:jc w:val="both"/>
              <w:rPr>
                <w:rFonts w:ascii="Calibri" w:hAnsi="Calibri" w:cs="Calibri"/>
              </w:rPr>
            </w:pPr>
          </w:p>
        </w:tc>
        <w:tc>
          <w:tcPr>
            <w:tcW w:w="0" w:type="auto"/>
            <w:shd w:val="clear" w:color="auto" w:fill="auto"/>
            <w:vAlign w:val="bottom"/>
          </w:tcPr>
          <w:p w14:paraId="707AC6E7" w14:textId="77777777" w:rsidR="00151675" w:rsidRPr="00C82FC4" w:rsidDel="00F94ED9" w:rsidRDefault="00151675" w:rsidP="00024A4E">
            <w:pPr>
              <w:jc w:val="both"/>
              <w:rPr>
                <w:rFonts w:ascii="Calibri" w:hAnsi="Calibri" w:cs="Calibri"/>
              </w:rPr>
            </w:pPr>
            <w:r>
              <w:rPr>
                <w:rFonts w:ascii="Calibri" w:hAnsi="Calibri" w:cs="Calibri"/>
                <w:color w:val="000000"/>
              </w:rPr>
              <w:t>39926</w:t>
            </w:r>
          </w:p>
        </w:tc>
        <w:tc>
          <w:tcPr>
            <w:tcW w:w="0" w:type="auto"/>
            <w:shd w:val="clear" w:color="auto" w:fill="auto"/>
          </w:tcPr>
          <w:p w14:paraId="312D8514" w14:textId="77777777" w:rsidR="00151675" w:rsidRPr="004B6964" w:rsidRDefault="00151675" w:rsidP="00024A4E">
            <w:pPr>
              <w:jc w:val="both"/>
              <w:rPr>
                <w:rFonts w:ascii="Calibri" w:hAnsi="Calibri" w:cs="Calibri"/>
              </w:rPr>
            </w:pPr>
            <w:r>
              <w:rPr>
                <w:rFonts w:ascii="Calibri" w:hAnsi="Calibri" w:cs="Calibri"/>
              </w:rPr>
              <w:t>12,4</w:t>
            </w:r>
          </w:p>
        </w:tc>
      </w:tr>
      <w:tr w:rsidR="00151675" w:rsidRPr="00C82FC4" w14:paraId="6493B7DE" w14:textId="77777777" w:rsidTr="00024A4E">
        <w:trPr>
          <w:jc w:val="center"/>
        </w:trPr>
        <w:tc>
          <w:tcPr>
            <w:tcW w:w="0" w:type="auto"/>
            <w:shd w:val="clear" w:color="auto" w:fill="auto"/>
          </w:tcPr>
          <w:p w14:paraId="3B53725D" w14:textId="77777777" w:rsidR="00151675" w:rsidRPr="00C82FC4" w:rsidRDefault="00151675" w:rsidP="00024A4E">
            <w:pPr>
              <w:jc w:val="both"/>
              <w:rPr>
                <w:rFonts w:ascii="Calibri" w:hAnsi="Calibri" w:cs="Calibri"/>
              </w:rPr>
            </w:pPr>
            <w:r>
              <w:rPr>
                <w:rFonts w:ascii="Calibri" w:hAnsi="Calibri" w:cs="Calibri"/>
              </w:rPr>
              <w:t>FR2</w:t>
            </w:r>
          </w:p>
        </w:tc>
        <w:tc>
          <w:tcPr>
            <w:tcW w:w="0" w:type="auto"/>
            <w:shd w:val="clear" w:color="auto" w:fill="auto"/>
            <w:vAlign w:val="bottom"/>
          </w:tcPr>
          <w:p w14:paraId="0B57270A" w14:textId="77777777" w:rsidR="00151675" w:rsidRPr="00C82FC4" w:rsidDel="00F94ED9" w:rsidRDefault="00151675" w:rsidP="00024A4E">
            <w:pPr>
              <w:jc w:val="both"/>
              <w:rPr>
                <w:rFonts w:ascii="Calibri" w:hAnsi="Calibri" w:cs="Calibri"/>
              </w:rPr>
            </w:pPr>
            <w:r w:rsidRPr="0039537E">
              <w:rPr>
                <w:rFonts w:ascii="Calibri" w:hAnsi="Calibri" w:cs="Calibri"/>
              </w:rPr>
              <w:t>13792</w:t>
            </w:r>
          </w:p>
        </w:tc>
        <w:tc>
          <w:tcPr>
            <w:tcW w:w="0" w:type="auto"/>
            <w:shd w:val="clear" w:color="auto" w:fill="auto"/>
          </w:tcPr>
          <w:p w14:paraId="29816886" w14:textId="77777777" w:rsidR="00151675" w:rsidRPr="002516E1" w:rsidRDefault="00151675" w:rsidP="00024A4E">
            <w:pPr>
              <w:jc w:val="both"/>
              <w:rPr>
                <w:rFonts w:ascii="Calibri" w:hAnsi="Calibri" w:cs="Calibri"/>
              </w:rPr>
            </w:pPr>
            <w:r>
              <w:rPr>
                <w:rFonts w:ascii="Calibri" w:hAnsi="Calibri" w:cs="Calibri"/>
              </w:rPr>
              <w:t>12,5</w:t>
            </w:r>
          </w:p>
        </w:tc>
      </w:tr>
    </w:tbl>
    <w:p w14:paraId="6D8B3C09" w14:textId="77777777" w:rsidR="008568BA" w:rsidRDefault="008568BA" w:rsidP="003D14F0">
      <w:pPr>
        <w:rPr>
          <w:rFonts w:cs="Arial"/>
          <w:lang w:val="en-GB" w:eastAsia="ja-JP"/>
        </w:rPr>
      </w:pPr>
    </w:p>
    <w:p w14:paraId="70B4EB5E" w14:textId="75D129E9" w:rsidR="00D35329" w:rsidRDefault="00293BC4" w:rsidP="003236FD">
      <w:pPr>
        <w:jc w:val="both"/>
        <w:rPr>
          <w:rFonts w:cs="Arial"/>
          <w:lang w:val="en-GB" w:eastAsia="ja-JP"/>
        </w:rPr>
      </w:pPr>
      <w:r>
        <w:rPr>
          <w:lang w:val="en-GB"/>
        </w:rPr>
        <w:t>In addition to the 11 used bits, t</w:t>
      </w:r>
      <w:r w:rsidR="00D35329" w:rsidRPr="00DF62F3">
        <w:rPr>
          <w:lang w:val="en-GB"/>
        </w:rPr>
        <w:t xml:space="preserve">he current MAC CE for </w:t>
      </w:r>
      <w:proofErr w:type="spellStart"/>
      <w:r w:rsidR="00D35329" w:rsidRPr="00DF62F3">
        <w:rPr>
          <w:lang w:val="en-GB"/>
        </w:rPr>
        <w:t>T_</w:t>
      </w:r>
      <w:proofErr w:type="gramStart"/>
      <w:r w:rsidR="00D35329" w:rsidRPr="00DF62F3">
        <w:rPr>
          <w:lang w:val="en-GB"/>
        </w:rPr>
        <w:t>delta,index</w:t>
      </w:r>
      <w:proofErr w:type="spellEnd"/>
      <w:proofErr w:type="gramEnd"/>
      <w:r w:rsidR="00D35329" w:rsidRPr="00DF62F3">
        <w:rPr>
          <w:lang w:val="en-GB"/>
        </w:rPr>
        <w:t xml:space="preserve"> has five bits unused/reserved. </w:t>
      </w:r>
      <w:r>
        <w:rPr>
          <w:lang w:val="en-GB"/>
        </w:rPr>
        <w:t>Hence, o</w:t>
      </w:r>
      <w:r w:rsidR="00D35329" w:rsidRPr="00DF62F3">
        <w:rPr>
          <w:lang w:val="en-GB"/>
        </w:rPr>
        <w:t xml:space="preserve">ne can go one step further and consider adding 1 bit for the </w:t>
      </w:r>
      <w:proofErr w:type="spellStart"/>
      <w:r w:rsidR="00D35329" w:rsidRPr="00DF62F3">
        <w:rPr>
          <w:lang w:val="en-GB"/>
        </w:rPr>
        <w:t>T_delta,index</w:t>
      </w:r>
      <w:proofErr w:type="spellEnd"/>
      <w:r w:rsidR="00D35329" w:rsidRPr="00DF62F3">
        <w:rPr>
          <w:lang w:val="en-GB"/>
        </w:rPr>
        <w:t xml:space="preserve"> field, thus extending it from 11 bit to 12 bit and </w:t>
      </w:r>
      <w:r>
        <w:rPr>
          <w:lang w:val="en-GB"/>
        </w:rPr>
        <w:t>thereby</w:t>
      </w:r>
      <w:r w:rsidR="00D35329" w:rsidRPr="00DF62F3">
        <w:rPr>
          <w:lang w:val="en-GB"/>
        </w:rPr>
        <w:t xml:space="preserve"> having a </w:t>
      </w:r>
      <w:proofErr w:type="spellStart"/>
      <w:r w:rsidR="00D35329" w:rsidRPr="00DF62F3">
        <w:rPr>
          <w:lang w:val="en-GB"/>
        </w:rPr>
        <w:t>T_delta,index</w:t>
      </w:r>
      <w:proofErr w:type="spellEnd"/>
      <w:r w:rsidR="00D35329" w:rsidRPr="00DF62F3">
        <w:rPr>
          <w:lang w:val="en-GB"/>
        </w:rPr>
        <w:t xml:space="preserve"> range of (0,1,…4095). </w:t>
      </w:r>
      <w:r w:rsidR="00141A3E">
        <w:fldChar w:fldCharType="begin"/>
      </w:r>
      <w:r w:rsidR="00141A3E">
        <w:rPr>
          <w:lang w:val="en-GB"/>
        </w:rPr>
        <w:instrText xml:space="preserve"> REF _Ref71637111 \h </w:instrText>
      </w:r>
      <w:r w:rsidR="00141A3E">
        <w:fldChar w:fldCharType="separate"/>
      </w:r>
      <w:r w:rsidR="000E3397">
        <w:t xml:space="preserve">Table </w:t>
      </w:r>
      <w:r w:rsidR="000E3397">
        <w:rPr>
          <w:noProof/>
        </w:rPr>
        <w:t>4</w:t>
      </w:r>
      <w:r w:rsidR="00141A3E">
        <w:fldChar w:fldCharType="end"/>
      </w:r>
      <w:r w:rsidR="00141A3E">
        <w:t xml:space="preserve"> </w:t>
      </w:r>
      <w:r w:rsidR="00D35329" w:rsidRPr="00DF62F3">
        <w:rPr>
          <w:lang w:val="en-GB"/>
        </w:rPr>
        <w:t>show what maximum BH link could be supported.</w:t>
      </w:r>
    </w:p>
    <w:p w14:paraId="6E1F7138" w14:textId="2E83E6C8" w:rsidR="00151675" w:rsidRPr="00DF62F3" w:rsidRDefault="00151675" w:rsidP="00151675">
      <w:pPr>
        <w:pStyle w:val="Caption"/>
        <w:jc w:val="center"/>
      </w:pPr>
      <w:bookmarkStart w:id="14" w:name="_Ref71637111"/>
      <w:r>
        <w:lastRenderedPageBreak/>
        <w:t xml:space="preserve">Table </w:t>
      </w:r>
      <w:r>
        <w:fldChar w:fldCharType="begin"/>
      </w:r>
      <w:r>
        <w:instrText xml:space="preserve"> SEQ Table \* ARABIC </w:instrText>
      </w:r>
      <w:r>
        <w:fldChar w:fldCharType="separate"/>
      </w:r>
      <w:r w:rsidR="000E3397">
        <w:rPr>
          <w:noProof/>
        </w:rPr>
        <w:t>4</w:t>
      </w:r>
      <w:r>
        <w:fldChar w:fldCharType="end"/>
      </w:r>
      <w:bookmarkEnd w:id="14"/>
      <w:r w:rsidRPr="00DF62F3">
        <w:rPr>
          <w:lang w:val="en-GB"/>
        </w:rPr>
        <w:t xml:space="preserve">: Maximum link distance assuming </w:t>
      </w:r>
      <w:proofErr w:type="spellStart"/>
      <w:r w:rsidRPr="00DF62F3">
        <w:rPr>
          <w:lang w:val="en-GB"/>
        </w:rPr>
        <w:t>T_</w:t>
      </w:r>
      <w:proofErr w:type="gramStart"/>
      <w:r w:rsidRPr="00DF62F3">
        <w:rPr>
          <w:lang w:val="en-GB"/>
        </w:rPr>
        <w:t>delta,index</w:t>
      </w:r>
      <w:proofErr w:type="spellEnd"/>
      <w:proofErr w:type="gramEnd"/>
      <w:r w:rsidRPr="00DF62F3">
        <w:rPr>
          <w:lang w:val="en-GB"/>
        </w:rPr>
        <w:t xml:space="preserve"> = 4095.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181"/>
        <w:gridCol w:w="1993"/>
      </w:tblGrid>
      <w:tr w:rsidR="00151675" w:rsidRPr="00C82FC4" w14:paraId="3527C6EC" w14:textId="77777777" w:rsidTr="00024A4E">
        <w:trPr>
          <w:jc w:val="center"/>
        </w:trPr>
        <w:tc>
          <w:tcPr>
            <w:tcW w:w="0" w:type="auto"/>
            <w:shd w:val="clear" w:color="auto" w:fill="auto"/>
          </w:tcPr>
          <w:p w14:paraId="4747694E" w14:textId="77777777" w:rsidR="00151675" w:rsidRPr="00DF62F3" w:rsidRDefault="00151675" w:rsidP="00024A4E">
            <w:pPr>
              <w:jc w:val="both"/>
              <w:rPr>
                <w:rFonts w:ascii="Calibri" w:hAnsi="Calibri" w:cs="Calibri"/>
              </w:rPr>
            </w:pPr>
          </w:p>
        </w:tc>
        <w:tc>
          <w:tcPr>
            <w:tcW w:w="0" w:type="auto"/>
            <w:shd w:val="clear" w:color="auto" w:fill="auto"/>
          </w:tcPr>
          <w:p w14:paraId="199FA7D6" w14:textId="77777777" w:rsidR="00151675" w:rsidRPr="00DF62F3" w:rsidRDefault="00151675" w:rsidP="00024A4E">
            <w:pPr>
              <w:jc w:val="both"/>
              <w:rPr>
                <w:rFonts w:ascii="Calibri" w:hAnsi="Calibri" w:cs="Calibri"/>
              </w:rPr>
            </w:pPr>
            <w:proofErr w:type="spellStart"/>
            <w:r w:rsidRPr="00DF62F3">
              <w:rPr>
                <w:rFonts w:ascii="Calibri" w:hAnsi="Calibri" w:cs="Calibri"/>
                <w:lang w:val="en-GB"/>
              </w:rPr>
              <w:t>N_</w:t>
            </w:r>
            <w:proofErr w:type="gramStart"/>
            <w:r w:rsidRPr="00DF62F3">
              <w:rPr>
                <w:rFonts w:ascii="Calibri" w:hAnsi="Calibri" w:cs="Calibri"/>
                <w:lang w:val="en-GB"/>
              </w:rPr>
              <w:t>TA,offset</w:t>
            </w:r>
            <w:proofErr w:type="spellEnd"/>
            <w:proofErr w:type="gramEnd"/>
          </w:p>
        </w:tc>
        <w:tc>
          <w:tcPr>
            <w:tcW w:w="0" w:type="auto"/>
            <w:shd w:val="clear" w:color="auto" w:fill="auto"/>
          </w:tcPr>
          <w:p w14:paraId="1CF66FB2" w14:textId="77777777" w:rsidR="00151675" w:rsidRPr="00DF62F3" w:rsidRDefault="00151675" w:rsidP="00024A4E">
            <w:pPr>
              <w:jc w:val="both"/>
              <w:rPr>
                <w:rFonts w:ascii="Calibri" w:hAnsi="Calibri" w:cs="Calibri"/>
              </w:rPr>
            </w:pPr>
            <w:r w:rsidRPr="00DF62F3">
              <w:rPr>
                <w:rFonts w:ascii="Calibri" w:hAnsi="Calibri" w:cs="Calibri"/>
                <w:lang w:val="en-GB"/>
              </w:rPr>
              <w:t>Max BH distance [km]</w:t>
            </w:r>
          </w:p>
        </w:tc>
      </w:tr>
      <w:tr w:rsidR="00151675" w:rsidRPr="00C82FC4" w14:paraId="2B2F2481" w14:textId="77777777" w:rsidTr="00024A4E">
        <w:trPr>
          <w:jc w:val="center"/>
        </w:trPr>
        <w:tc>
          <w:tcPr>
            <w:tcW w:w="0" w:type="auto"/>
            <w:vMerge w:val="restart"/>
            <w:shd w:val="clear" w:color="auto" w:fill="auto"/>
          </w:tcPr>
          <w:p w14:paraId="52071B9B" w14:textId="77777777" w:rsidR="00151675" w:rsidRPr="00DF62F3" w:rsidRDefault="00151675" w:rsidP="00024A4E">
            <w:pPr>
              <w:jc w:val="both"/>
              <w:rPr>
                <w:rFonts w:ascii="Calibri" w:hAnsi="Calibri" w:cs="Calibri"/>
              </w:rPr>
            </w:pPr>
            <w:r w:rsidRPr="00DF62F3">
              <w:rPr>
                <w:rFonts w:ascii="Calibri" w:hAnsi="Calibri" w:cs="Calibri"/>
                <w:lang w:val="en-GB"/>
              </w:rPr>
              <w:t>FR1</w:t>
            </w:r>
          </w:p>
        </w:tc>
        <w:tc>
          <w:tcPr>
            <w:tcW w:w="0" w:type="auto"/>
            <w:shd w:val="clear" w:color="auto" w:fill="auto"/>
            <w:vAlign w:val="bottom"/>
          </w:tcPr>
          <w:p w14:paraId="75BAFB46" w14:textId="77777777" w:rsidR="00151675" w:rsidRPr="00DF62F3" w:rsidDel="00B37B10" w:rsidRDefault="00151675" w:rsidP="00024A4E">
            <w:pPr>
              <w:jc w:val="both"/>
              <w:rPr>
                <w:rFonts w:ascii="Calibri" w:hAnsi="Calibri" w:cs="Calibri"/>
                <w:color w:val="000000"/>
              </w:rPr>
            </w:pPr>
            <w:r w:rsidRPr="00DF62F3">
              <w:rPr>
                <w:rFonts w:ascii="Calibri" w:hAnsi="Calibri" w:cs="Calibri"/>
                <w:color w:val="000000"/>
                <w:lang w:val="en-GB"/>
              </w:rPr>
              <w:t>25600</w:t>
            </w:r>
          </w:p>
        </w:tc>
        <w:tc>
          <w:tcPr>
            <w:tcW w:w="0" w:type="auto"/>
            <w:shd w:val="clear" w:color="auto" w:fill="auto"/>
          </w:tcPr>
          <w:p w14:paraId="214690D6" w14:textId="77777777" w:rsidR="00151675" w:rsidRPr="00DF62F3" w:rsidRDefault="00151675" w:rsidP="00024A4E">
            <w:pPr>
              <w:jc w:val="both"/>
              <w:rPr>
                <w:rFonts w:ascii="Calibri" w:hAnsi="Calibri" w:cs="Calibri"/>
              </w:rPr>
            </w:pPr>
            <w:r w:rsidRPr="00DF62F3">
              <w:rPr>
                <w:rFonts w:ascii="Calibri" w:hAnsi="Calibri" w:cs="Calibri"/>
                <w:lang w:val="en-GB"/>
              </w:rPr>
              <w:t>54,5</w:t>
            </w:r>
          </w:p>
        </w:tc>
      </w:tr>
      <w:tr w:rsidR="00151675" w:rsidRPr="00C82FC4" w14:paraId="1E79C8B2" w14:textId="77777777" w:rsidTr="00024A4E">
        <w:trPr>
          <w:jc w:val="center"/>
        </w:trPr>
        <w:tc>
          <w:tcPr>
            <w:tcW w:w="0" w:type="auto"/>
            <w:vMerge/>
            <w:shd w:val="clear" w:color="auto" w:fill="auto"/>
          </w:tcPr>
          <w:p w14:paraId="4A983CA2" w14:textId="77777777" w:rsidR="00151675" w:rsidRPr="00DF62F3" w:rsidRDefault="00151675" w:rsidP="00024A4E">
            <w:pPr>
              <w:jc w:val="both"/>
              <w:rPr>
                <w:rFonts w:ascii="Calibri" w:hAnsi="Calibri" w:cs="Calibri"/>
              </w:rPr>
            </w:pPr>
          </w:p>
        </w:tc>
        <w:tc>
          <w:tcPr>
            <w:tcW w:w="0" w:type="auto"/>
            <w:shd w:val="clear" w:color="auto" w:fill="auto"/>
            <w:vAlign w:val="bottom"/>
          </w:tcPr>
          <w:p w14:paraId="4D5AEF8A" w14:textId="77777777" w:rsidR="00151675" w:rsidRPr="00DF62F3" w:rsidDel="00F94ED9" w:rsidRDefault="00151675" w:rsidP="00024A4E">
            <w:pPr>
              <w:jc w:val="both"/>
              <w:rPr>
                <w:rFonts w:ascii="Calibri" w:hAnsi="Calibri" w:cs="Calibri"/>
              </w:rPr>
            </w:pPr>
            <w:r w:rsidRPr="00DF62F3">
              <w:rPr>
                <w:rFonts w:ascii="Calibri" w:hAnsi="Calibri" w:cs="Calibri"/>
                <w:color w:val="000000"/>
                <w:lang w:val="en-GB"/>
              </w:rPr>
              <w:t>39926</w:t>
            </w:r>
          </w:p>
        </w:tc>
        <w:tc>
          <w:tcPr>
            <w:tcW w:w="0" w:type="auto"/>
            <w:shd w:val="clear" w:color="auto" w:fill="auto"/>
          </w:tcPr>
          <w:p w14:paraId="34A44F0F" w14:textId="77777777" w:rsidR="00151675" w:rsidRPr="00DF62F3" w:rsidRDefault="00151675" w:rsidP="00024A4E">
            <w:pPr>
              <w:jc w:val="both"/>
              <w:rPr>
                <w:rFonts w:ascii="Calibri" w:hAnsi="Calibri" w:cs="Calibri"/>
              </w:rPr>
            </w:pPr>
            <w:r w:rsidRPr="00DF62F3">
              <w:rPr>
                <w:rFonts w:ascii="Calibri" w:hAnsi="Calibri" w:cs="Calibri"/>
                <w:lang w:val="en-GB"/>
              </w:rPr>
              <w:t>52,4</w:t>
            </w:r>
          </w:p>
        </w:tc>
      </w:tr>
      <w:tr w:rsidR="00151675" w:rsidRPr="00C82FC4" w14:paraId="630D7B66" w14:textId="77777777" w:rsidTr="00024A4E">
        <w:trPr>
          <w:jc w:val="center"/>
        </w:trPr>
        <w:tc>
          <w:tcPr>
            <w:tcW w:w="0" w:type="auto"/>
            <w:shd w:val="clear" w:color="auto" w:fill="auto"/>
          </w:tcPr>
          <w:p w14:paraId="41150AC3" w14:textId="77777777" w:rsidR="00151675" w:rsidRPr="00DF62F3" w:rsidRDefault="00151675" w:rsidP="00024A4E">
            <w:pPr>
              <w:jc w:val="both"/>
              <w:rPr>
                <w:rFonts w:ascii="Calibri" w:hAnsi="Calibri" w:cs="Calibri"/>
              </w:rPr>
            </w:pPr>
            <w:r w:rsidRPr="00DF62F3">
              <w:rPr>
                <w:rFonts w:ascii="Calibri" w:hAnsi="Calibri" w:cs="Calibri"/>
                <w:lang w:val="en-GB"/>
              </w:rPr>
              <w:t>FR2</w:t>
            </w:r>
          </w:p>
        </w:tc>
        <w:tc>
          <w:tcPr>
            <w:tcW w:w="0" w:type="auto"/>
            <w:shd w:val="clear" w:color="auto" w:fill="auto"/>
            <w:vAlign w:val="bottom"/>
          </w:tcPr>
          <w:p w14:paraId="5F4ABA39" w14:textId="77777777" w:rsidR="00151675" w:rsidRPr="00DF62F3" w:rsidDel="00F94ED9" w:rsidRDefault="00151675" w:rsidP="00024A4E">
            <w:pPr>
              <w:jc w:val="both"/>
              <w:rPr>
                <w:rFonts w:ascii="Calibri" w:hAnsi="Calibri" w:cs="Calibri"/>
              </w:rPr>
            </w:pPr>
            <w:r w:rsidRPr="00DF62F3">
              <w:rPr>
                <w:rFonts w:ascii="Calibri" w:hAnsi="Calibri" w:cs="Calibri"/>
                <w:lang w:val="en-GB"/>
              </w:rPr>
              <w:t>13792</w:t>
            </w:r>
          </w:p>
        </w:tc>
        <w:tc>
          <w:tcPr>
            <w:tcW w:w="0" w:type="auto"/>
            <w:shd w:val="clear" w:color="auto" w:fill="auto"/>
          </w:tcPr>
          <w:p w14:paraId="50D6FF50" w14:textId="77777777" w:rsidR="00151675" w:rsidRPr="00DF62F3" w:rsidRDefault="00151675" w:rsidP="00024A4E">
            <w:pPr>
              <w:jc w:val="both"/>
              <w:rPr>
                <w:rFonts w:ascii="Calibri" w:hAnsi="Calibri" w:cs="Calibri"/>
              </w:rPr>
            </w:pPr>
            <w:r w:rsidRPr="00DF62F3">
              <w:rPr>
                <w:rFonts w:ascii="Calibri" w:hAnsi="Calibri" w:cs="Calibri"/>
                <w:lang w:val="en-GB"/>
              </w:rPr>
              <w:t>32,5</w:t>
            </w:r>
          </w:p>
        </w:tc>
      </w:tr>
    </w:tbl>
    <w:p w14:paraId="3D7289DB" w14:textId="739CCC1B" w:rsidR="00151675" w:rsidRDefault="00151675" w:rsidP="003D14F0">
      <w:pPr>
        <w:rPr>
          <w:rFonts w:cs="Arial"/>
          <w:lang w:val="en-GB" w:eastAsia="ja-JP"/>
        </w:rPr>
      </w:pPr>
    </w:p>
    <w:p w14:paraId="054C8224" w14:textId="699ECFDF" w:rsidR="00D35329" w:rsidRDefault="00D35329" w:rsidP="003236FD">
      <w:pPr>
        <w:jc w:val="both"/>
        <w:rPr>
          <w:rFonts w:cs="Arial"/>
          <w:lang w:val="en-GB" w:eastAsia="ja-JP"/>
        </w:rPr>
      </w:pPr>
      <w:r w:rsidRPr="00DF62F3">
        <w:rPr>
          <w:iCs/>
          <w:lang w:val="en-GB"/>
        </w:rPr>
        <w:t xml:space="preserve">We believe it is reasonable to at least change the valid range for </w:t>
      </w:r>
      <w:proofErr w:type="spellStart"/>
      <w:r w:rsidRPr="00DF62F3">
        <w:rPr>
          <w:iCs/>
          <w:lang w:val="en-GB"/>
        </w:rPr>
        <w:t>T_delta,index</w:t>
      </w:r>
      <w:proofErr w:type="spellEnd"/>
      <w:r w:rsidRPr="00DF62F3">
        <w:rPr>
          <w:iCs/>
          <w:lang w:val="en-GB"/>
        </w:rPr>
        <w:t xml:space="preserve"> from (0,1…1199) to (0,1…2047) to also </w:t>
      </w:r>
      <w:r w:rsidR="00293BC4">
        <w:rPr>
          <w:iCs/>
          <w:lang w:val="en-GB"/>
        </w:rPr>
        <w:t>support</w:t>
      </w:r>
      <w:r w:rsidR="00941394">
        <w:rPr>
          <w:iCs/>
          <w:lang w:val="en-GB"/>
        </w:rPr>
        <w:t xml:space="preserve"> deployment with</w:t>
      </w:r>
      <w:r w:rsidRPr="00DF62F3">
        <w:rPr>
          <w:iCs/>
          <w:lang w:val="en-GB"/>
        </w:rPr>
        <w:t xml:space="preserve"> extended </w:t>
      </w:r>
      <w:r w:rsidR="00293BC4">
        <w:rPr>
          <w:iCs/>
          <w:lang w:val="en-GB"/>
        </w:rPr>
        <w:t>ISD</w:t>
      </w:r>
      <w:r>
        <w:rPr>
          <w:iCs/>
          <w:lang w:val="en-GB"/>
        </w:rPr>
        <w:t>,</w:t>
      </w:r>
      <w:r w:rsidRPr="00DF62F3">
        <w:rPr>
          <w:iCs/>
          <w:lang w:val="en-GB"/>
        </w:rPr>
        <w:t xml:space="preserve"> should some IAB-node operate in Case-6 or Case-7 timing. We are also </w:t>
      </w:r>
      <w:proofErr w:type="gramStart"/>
      <w:r w:rsidRPr="00DF62F3">
        <w:rPr>
          <w:iCs/>
          <w:lang w:val="en-GB"/>
        </w:rPr>
        <w:t>open</w:t>
      </w:r>
      <w:proofErr w:type="gramEnd"/>
      <w:r w:rsidRPr="00DF62F3">
        <w:rPr>
          <w:iCs/>
          <w:lang w:val="en-GB"/>
        </w:rPr>
        <w:t xml:space="preserve"> to extend the bit field in the </w:t>
      </w:r>
      <w:proofErr w:type="spellStart"/>
      <w:r w:rsidRPr="00DF62F3">
        <w:rPr>
          <w:iCs/>
          <w:lang w:val="en-GB"/>
        </w:rPr>
        <w:t>T_delta</w:t>
      </w:r>
      <w:proofErr w:type="spellEnd"/>
      <w:r w:rsidRPr="00DF62F3">
        <w:rPr>
          <w:iCs/>
          <w:lang w:val="en-GB"/>
        </w:rPr>
        <w:t xml:space="preserve"> MAC CE by one bit assuming it would allow for all practical use case</w:t>
      </w:r>
      <w:r w:rsidR="00941394">
        <w:rPr>
          <w:iCs/>
          <w:lang w:val="en-GB"/>
        </w:rPr>
        <w:t>s</w:t>
      </w:r>
      <w:r w:rsidRPr="00DF62F3">
        <w:rPr>
          <w:iCs/>
          <w:lang w:val="en-GB"/>
        </w:rPr>
        <w:t xml:space="preserve"> </w:t>
      </w:r>
      <w:r w:rsidR="00941394">
        <w:rPr>
          <w:iCs/>
          <w:lang w:val="en-GB"/>
        </w:rPr>
        <w:t>in</w:t>
      </w:r>
      <w:r w:rsidRPr="00DF62F3">
        <w:rPr>
          <w:iCs/>
          <w:lang w:val="en-GB"/>
        </w:rPr>
        <w:t xml:space="preserve"> both FR1</w:t>
      </w:r>
      <w:r w:rsidR="00941394">
        <w:rPr>
          <w:iCs/>
          <w:lang w:val="en-GB"/>
        </w:rPr>
        <w:t xml:space="preserve"> and FR</w:t>
      </w:r>
      <w:r w:rsidRPr="00DF62F3">
        <w:rPr>
          <w:iCs/>
          <w:lang w:val="en-GB"/>
        </w:rPr>
        <w:t>2.</w:t>
      </w:r>
    </w:p>
    <w:p w14:paraId="614F16A0" w14:textId="367650BE" w:rsidR="00151675" w:rsidRDefault="00151675" w:rsidP="00074C07">
      <w:pPr>
        <w:pStyle w:val="Proposal"/>
      </w:pPr>
      <w:bookmarkStart w:id="15" w:name="_Toc61903602"/>
      <w:bookmarkStart w:id="16" w:name="_Toc71663443"/>
      <w:r w:rsidRPr="00964832">
        <w:t xml:space="preserve">Extend the valid </w:t>
      </w:r>
      <w:proofErr w:type="spellStart"/>
      <w:r w:rsidRPr="00964832">
        <w:t>T_delta</w:t>
      </w:r>
      <w:proofErr w:type="spellEnd"/>
      <w:r w:rsidRPr="00964832">
        <w:t xml:space="preserve"> index </w:t>
      </w:r>
      <w:proofErr w:type="gramStart"/>
      <w:r w:rsidRPr="00964832">
        <w:t>range</w:t>
      </w:r>
      <w:proofErr w:type="gramEnd"/>
      <w:r w:rsidRPr="00964832">
        <w:t xml:space="preserve"> from (0,1…1199) to (0,1…2047).</w:t>
      </w:r>
      <w:bookmarkEnd w:id="15"/>
      <w:bookmarkEnd w:id="16"/>
    </w:p>
    <w:p w14:paraId="740468DB" w14:textId="131E15C6" w:rsidR="00151675" w:rsidRPr="0020023A" w:rsidRDefault="0020023A" w:rsidP="00074C07">
      <w:pPr>
        <w:pStyle w:val="Proposal"/>
        <w:rPr>
          <w:rFonts w:cs="Arial"/>
          <w:lang w:eastAsia="ja-JP"/>
        </w:rPr>
      </w:pPr>
      <w:bookmarkStart w:id="17" w:name="_Toc61903603"/>
      <w:bookmarkStart w:id="18" w:name="_Toc71663444"/>
      <w:r w:rsidRPr="0020023A">
        <w:t xml:space="preserve">Discuss whether there exist use cases with increased ISD, and if so, if these use cases warrants extending the bit field of the </w:t>
      </w:r>
      <w:proofErr w:type="spellStart"/>
      <w:r w:rsidRPr="0020023A">
        <w:t>T_delta</w:t>
      </w:r>
      <w:proofErr w:type="spellEnd"/>
      <w:r w:rsidRPr="0020023A">
        <w:t xml:space="preserve"> MAC CE.</w:t>
      </w:r>
      <w:bookmarkEnd w:id="17"/>
      <w:bookmarkEnd w:id="18"/>
      <w:r w:rsidRPr="0020023A">
        <w:rPr>
          <w:rFonts w:cs="Arial"/>
          <w:lang w:eastAsia="ja-JP"/>
        </w:rPr>
        <w:t xml:space="preserve"> </w:t>
      </w:r>
    </w:p>
    <w:p w14:paraId="301C1ACE" w14:textId="7E38A40F" w:rsidR="00D35329" w:rsidRDefault="00D35329" w:rsidP="00D35329">
      <w:pPr>
        <w:pStyle w:val="Heading2"/>
      </w:pPr>
      <w:r>
        <w:t>GNSS based synchronization</w:t>
      </w:r>
    </w:p>
    <w:p w14:paraId="1A0C6C9D" w14:textId="63F6CDCF" w:rsidR="003236FD" w:rsidRDefault="008044AD" w:rsidP="003236FD">
      <w:pPr>
        <w:jc w:val="both"/>
        <w:rPr>
          <w:rFonts w:cs="Arial"/>
          <w:lang w:val="en-GB" w:eastAsia="ja-JP"/>
        </w:rPr>
      </w:pPr>
      <w:r>
        <w:rPr>
          <w:rFonts w:cs="Arial"/>
          <w:lang w:val="en-GB" w:eastAsia="ja-JP"/>
        </w:rPr>
        <w:t>I</w:t>
      </w:r>
      <w:r w:rsidR="00AF5334" w:rsidRPr="008044AD">
        <w:rPr>
          <w:rFonts w:cs="Arial"/>
          <w:lang w:val="en-GB" w:eastAsia="ja-JP"/>
        </w:rPr>
        <w:t xml:space="preserve">rrespective of whether OTA synchronization supports Case-6 or Case-7 timing configurations, both cases can always be supported by </w:t>
      </w:r>
      <w:r w:rsidR="003D7BF8">
        <w:rPr>
          <w:rFonts w:cs="Arial"/>
          <w:lang w:val="en-GB" w:eastAsia="ja-JP"/>
        </w:rPr>
        <w:t xml:space="preserve">concerned </w:t>
      </w:r>
      <w:r w:rsidRPr="008044AD">
        <w:rPr>
          <w:rFonts w:cs="Arial"/>
          <w:lang w:val="en-GB" w:eastAsia="ja-JP"/>
        </w:rPr>
        <w:t xml:space="preserve">IAB-nodes that </w:t>
      </w:r>
      <w:r w:rsidR="003D7BF8">
        <w:rPr>
          <w:rFonts w:cs="Arial"/>
          <w:lang w:val="en-GB" w:eastAsia="ja-JP"/>
        </w:rPr>
        <w:t xml:space="preserve">use </w:t>
      </w:r>
      <w:r w:rsidRPr="008044AD">
        <w:rPr>
          <w:rFonts w:cs="Arial"/>
          <w:lang w:val="en-GB" w:eastAsia="ja-JP"/>
        </w:rPr>
        <w:t xml:space="preserve">GNSS </w:t>
      </w:r>
      <w:r w:rsidR="003D7BF8">
        <w:rPr>
          <w:rFonts w:cs="Arial"/>
          <w:lang w:val="en-GB" w:eastAsia="ja-JP"/>
        </w:rPr>
        <w:t>as their</w:t>
      </w:r>
      <w:r w:rsidRPr="008044AD">
        <w:rPr>
          <w:rFonts w:cs="Arial"/>
          <w:lang w:val="en-GB" w:eastAsia="ja-JP"/>
        </w:rPr>
        <w:t xml:space="preserve"> synchronization sources.</w:t>
      </w:r>
    </w:p>
    <w:p w14:paraId="56D48D5B" w14:textId="00997107" w:rsidR="00934019" w:rsidRDefault="008044AD" w:rsidP="003236FD">
      <w:pPr>
        <w:jc w:val="both"/>
        <w:rPr>
          <w:rFonts w:cs="Arial"/>
          <w:lang w:val="en-GB" w:eastAsia="ja-JP"/>
        </w:rPr>
      </w:pPr>
      <w:r>
        <w:rPr>
          <w:rFonts w:cs="Arial"/>
          <w:lang w:val="en-GB" w:eastAsia="ja-JP"/>
        </w:rPr>
        <w:t xml:space="preserve">It is obvious how DL transmission timing of </w:t>
      </w:r>
      <w:r w:rsidR="00E82FF4">
        <w:rPr>
          <w:rFonts w:cs="Arial"/>
          <w:lang w:val="en-GB" w:eastAsia="ja-JP"/>
        </w:rPr>
        <w:t xml:space="preserve">IAB-nodes can be achieved if GNSS time is available. </w:t>
      </w:r>
      <w:r>
        <w:rPr>
          <w:rFonts w:cs="Arial"/>
          <w:lang w:val="en-GB" w:eastAsia="ja-JP"/>
        </w:rPr>
        <w:t>For Case-6 timing, it is</w:t>
      </w:r>
      <w:r w:rsidR="00E82FF4">
        <w:rPr>
          <w:rFonts w:cs="Arial"/>
          <w:lang w:val="en-GB" w:eastAsia="ja-JP"/>
        </w:rPr>
        <w:t xml:space="preserve"> additionally necessary that a parent IAB-node is aware of the propagation delay of UL signals transmitted by served IAB-nodes.</w:t>
      </w:r>
      <w:r w:rsidR="00CC4F71">
        <w:rPr>
          <w:rFonts w:cs="Arial"/>
          <w:lang w:val="en-GB" w:eastAsia="ja-JP"/>
        </w:rPr>
        <w:t xml:space="preserve"> A procedure could be sketched as in the following</w:t>
      </w:r>
      <w:r w:rsidR="001611EA">
        <w:rPr>
          <w:rFonts w:cs="Arial"/>
          <w:lang w:val="en-GB" w:eastAsia="ja-JP"/>
        </w:rPr>
        <w:t>:</w:t>
      </w:r>
      <w:r w:rsidR="00CC4F71">
        <w:rPr>
          <w:rFonts w:cs="Arial"/>
          <w:lang w:val="en-GB" w:eastAsia="ja-JP"/>
        </w:rPr>
        <w:t xml:space="preserve"> A</w:t>
      </w:r>
      <w:r w:rsidR="00E82FF4">
        <w:rPr>
          <w:rFonts w:cs="Arial"/>
          <w:lang w:val="en-GB" w:eastAsia="ja-JP"/>
        </w:rPr>
        <w:t xml:space="preserve"> served </w:t>
      </w:r>
      <w:r w:rsidRPr="008044AD">
        <w:rPr>
          <w:rFonts w:cs="Arial"/>
          <w:lang w:val="en-GB" w:eastAsia="ja-JP"/>
        </w:rPr>
        <w:t xml:space="preserve">IAB-node </w:t>
      </w:r>
      <w:r w:rsidR="00E82FF4">
        <w:rPr>
          <w:rFonts w:cs="Arial"/>
          <w:lang w:val="en-GB" w:eastAsia="ja-JP"/>
        </w:rPr>
        <w:t xml:space="preserve">can transmit an </w:t>
      </w:r>
      <w:r w:rsidRPr="008044AD">
        <w:rPr>
          <w:rFonts w:cs="Arial"/>
          <w:lang w:val="en-GB" w:eastAsia="ja-JP"/>
        </w:rPr>
        <w:t>SSB</w:t>
      </w:r>
      <w:r w:rsidR="00E90A6F">
        <w:rPr>
          <w:rFonts w:cs="Arial"/>
          <w:lang w:val="en-GB" w:eastAsia="ja-JP"/>
        </w:rPr>
        <w:t xml:space="preserve"> (with its DL transmission timing)</w:t>
      </w:r>
      <w:r w:rsidR="00E82FF4">
        <w:rPr>
          <w:rFonts w:cs="Arial"/>
          <w:lang w:val="en-GB" w:eastAsia="ja-JP"/>
        </w:rPr>
        <w:t xml:space="preserve"> with an IAB-specific STC and the parent IAB-node can receive it with an IAB-specific SMTC as specified for </w:t>
      </w:r>
      <w:r w:rsidR="003D14F0">
        <w:rPr>
          <w:rFonts w:cs="Arial"/>
          <w:lang w:val="en-GB" w:eastAsia="ja-JP"/>
        </w:rPr>
        <w:t>inter-</w:t>
      </w:r>
      <w:r w:rsidR="00E82FF4" w:rsidRPr="008044AD">
        <w:rPr>
          <w:rFonts w:cs="Arial"/>
          <w:lang w:val="en-GB" w:eastAsia="ja-JP"/>
        </w:rPr>
        <w:t>IAB</w:t>
      </w:r>
      <w:r w:rsidR="003D14F0">
        <w:rPr>
          <w:rFonts w:cs="Arial"/>
          <w:lang w:val="en-GB" w:eastAsia="ja-JP"/>
        </w:rPr>
        <w:t>-</w:t>
      </w:r>
      <w:r w:rsidR="00E82FF4" w:rsidRPr="008044AD">
        <w:rPr>
          <w:rFonts w:cs="Arial"/>
          <w:lang w:val="en-GB" w:eastAsia="ja-JP"/>
        </w:rPr>
        <w:t>node</w:t>
      </w:r>
      <w:r w:rsidR="00E82FF4">
        <w:rPr>
          <w:rFonts w:cs="Arial"/>
          <w:lang w:val="en-GB" w:eastAsia="ja-JP"/>
        </w:rPr>
        <w:t xml:space="preserve"> </w:t>
      </w:r>
      <w:r w:rsidR="00E82FF4" w:rsidRPr="008044AD">
        <w:rPr>
          <w:rFonts w:cs="Arial"/>
          <w:lang w:val="en-GB" w:eastAsia="ja-JP"/>
        </w:rPr>
        <w:t>discovery</w:t>
      </w:r>
      <w:r w:rsidR="003D14F0">
        <w:rPr>
          <w:rFonts w:cs="Arial"/>
          <w:lang w:val="en-GB" w:eastAsia="ja-JP"/>
        </w:rPr>
        <w:t xml:space="preserve"> and </w:t>
      </w:r>
      <w:r w:rsidR="00E82FF4" w:rsidRPr="008044AD">
        <w:rPr>
          <w:rFonts w:cs="Arial"/>
          <w:lang w:val="en-GB" w:eastAsia="ja-JP"/>
        </w:rPr>
        <w:t>measurement</w:t>
      </w:r>
      <w:r w:rsidR="00E82FF4">
        <w:rPr>
          <w:rFonts w:cs="Arial"/>
          <w:lang w:val="en-GB" w:eastAsia="ja-JP"/>
        </w:rPr>
        <w:t>.</w:t>
      </w:r>
      <w:r w:rsidR="003D14F0">
        <w:rPr>
          <w:rFonts w:cs="Arial"/>
          <w:lang w:val="en-GB" w:eastAsia="ja-JP"/>
        </w:rPr>
        <w:t xml:space="preserve"> </w:t>
      </w:r>
      <w:r w:rsidR="001611EA">
        <w:rPr>
          <w:rFonts w:cs="Arial"/>
          <w:lang w:val="en-GB" w:eastAsia="ja-JP"/>
        </w:rPr>
        <w:t>Also</w:t>
      </w:r>
      <w:r w:rsidR="00DD7148">
        <w:rPr>
          <w:rFonts w:cs="Arial"/>
          <w:lang w:val="en-GB" w:eastAsia="ja-JP"/>
        </w:rPr>
        <w:t>,</w:t>
      </w:r>
      <w:r w:rsidR="003D14F0">
        <w:rPr>
          <w:rFonts w:cs="Arial"/>
          <w:lang w:val="en-GB" w:eastAsia="ja-JP"/>
        </w:rPr>
        <w:t xml:space="preserve"> a regular SSB (as used for UE synchronization) or </w:t>
      </w:r>
      <w:r w:rsidR="003D14F0" w:rsidRPr="008044AD">
        <w:rPr>
          <w:rFonts w:cs="Arial"/>
          <w:lang w:val="en-GB" w:eastAsia="ja-JP"/>
        </w:rPr>
        <w:t>a random-access preamble (</w:t>
      </w:r>
      <w:r w:rsidR="003D14F0">
        <w:rPr>
          <w:rFonts w:cs="Arial"/>
          <w:lang w:val="en-GB" w:eastAsia="ja-JP"/>
        </w:rPr>
        <w:t xml:space="preserve">e.g., </w:t>
      </w:r>
      <w:r w:rsidR="003D14F0" w:rsidRPr="008044AD">
        <w:rPr>
          <w:rFonts w:cs="Arial"/>
          <w:lang w:val="en-GB" w:eastAsia="ja-JP"/>
        </w:rPr>
        <w:t>IAB specific RACH)</w:t>
      </w:r>
      <w:r w:rsidR="003D14F0">
        <w:rPr>
          <w:rFonts w:cs="Arial"/>
          <w:lang w:val="en-GB" w:eastAsia="ja-JP"/>
        </w:rPr>
        <w:t xml:space="preserve"> can be </w:t>
      </w:r>
      <w:r w:rsidR="001611EA">
        <w:rPr>
          <w:rFonts w:cs="Arial"/>
          <w:lang w:val="en-GB" w:eastAsia="ja-JP"/>
        </w:rPr>
        <w:t>used</w:t>
      </w:r>
      <w:r w:rsidR="003D14F0">
        <w:rPr>
          <w:rFonts w:cs="Arial"/>
          <w:lang w:val="en-GB" w:eastAsia="ja-JP"/>
        </w:rPr>
        <w:t xml:space="preserve"> for this task. </w:t>
      </w:r>
      <w:r w:rsidR="00E90A6F">
        <w:rPr>
          <w:rFonts w:cs="Arial"/>
          <w:lang w:val="en-GB" w:eastAsia="ja-JP"/>
        </w:rPr>
        <w:t>T</w:t>
      </w:r>
      <w:r w:rsidRPr="008044AD">
        <w:rPr>
          <w:rFonts w:cs="Arial"/>
          <w:lang w:val="en-GB" w:eastAsia="ja-JP"/>
        </w:rPr>
        <w:t xml:space="preserve">he </w:t>
      </w:r>
      <w:r w:rsidR="003D14F0">
        <w:rPr>
          <w:rFonts w:cs="Arial"/>
          <w:lang w:val="en-GB" w:eastAsia="ja-JP"/>
        </w:rPr>
        <w:t xml:space="preserve">parent </w:t>
      </w:r>
      <w:r w:rsidRPr="008044AD">
        <w:rPr>
          <w:rFonts w:cs="Arial"/>
          <w:lang w:val="en-GB" w:eastAsia="ja-JP"/>
        </w:rPr>
        <w:t xml:space="preserve">IAB-node </w:t>
      </w:r>
      <w:r w:rsidR="00E90A6F">
        <w:rPr>
          <w:rFonts w:cs="Arial"/>
          <w:lang w:val="en-GB" w:eastAsia="ja-JP"/>
        </w:rPr>
        <w:t>can</w:t>
      </w:r>
      <w:r w:rsidRPr="008044AD">
        <w:rPr>
          <w:rFonts w:cs="Arial"/>
          <w:lang w:val="en-GB" w:eastAsia="ja-JP"/>
        </w:rPr>
        <w:t xml:space="preserve"> </w:t>
      </w:r>
      <w:r w:rsidR="003D14F0">
        <w:rPr>
          <w:rFonts w:cs="Arial"/>
          <w:lang w:val="en-GB" w:eastAsia="ja-JP"/>
        </w:rPr>
        <w:t>measure</w:t>
      </w:r>
      <w:r w:rsidRPr="008044AD">
        <w:rPr>
          <w:rFonts w:cs="Arial"/>
          <w:lang w:val="en-GB" w:eastAsia="ja-JP"/>
        </w:rPr>
        <w:t xml:space="preserve"> </w:t>
      </w:r>
      <w:r w:rsidR="003D14F0">
        <w:rPr>
          <w:rFonts w:cs="Arial"/>
          <w:lang w:val="en-GB" w:eastAsia="ja-JP"/>
        </w:rPr>
        <w:t>the</w:t>
      </w:r>
      <w:r w:rsidRPr="008044AD">
        <w:rPr>
          <w:rFonts w:cs="Arial"/>
          <w:lang w:val="en-GB" w:eastAsia="ja-JP"/>
        </w:rPr>
        <w:t xml:space="preserve"> offset between the rece</w:t>
      </w:r>
      <w:r w:rsidR="003D14F0">
        <w:rPr>
          <w:rFonts w:cs="Arial"/>
          <w:lang w:val="en-GB" w:eastAsia="ja-JP"/>
        </w:rPr>
        <w:t>ption</w:t>
      </w:r>
      <w:r w:rsidRPr="008044AD">
        <w:rPr>
          <w:rFonts w:cs="Arial"/>
          <w:lang w:val="en-GB" w:eastAsia="ja-JP"/>
        </w:rPr>
        <w:t xml:space="preserve"> </w:t>
      </w:r>
      <w:r w:rsidR="00E90A6F">
        <w:rPr>
          <w:rFonts w:cs="Arial"/>
          <w:lang w:val="en-GB" w:eastAsia="ja-JP"/>
        </w:rPr>
        <w:t xml:space="preserve">of an SSB </w:t>
      </w:r>
      <w:r w:rsidRPr="008044AD">
        <w:rPr>
          <w:rFonts w:cs="Arial"/>
          <w:lang w:val="en-GB" w:eastAsia="ja-JP"/>
        </w:rPr>
        <w:t xml:space="preserve">and </w:t>
      </w:r>
      <w:r w:rsidR="003D14F0">
        <w:rPr>
          <w:rFonts w:cs="Arial"/>
          <w:lang w:val="en-GB" w:eastAsia="ja-JP"/>
        </w:rPr>
        <w:t>its</w:t>
      </w:r>
      <w:r w:rsidR="00CC4F71">
        <w:rPr>
          <w:rFonts w:cs="Arial"/>
          <w:lang w:val="en-GB" w:eastAsia="ja-JP"/>
        </w:rPr>
        <w:t xml:space="preserve"> own</w:t>
      </w:r>
      <w:r w:rsidR="003D14F0">
        <w:rPr>
          <w:rFonts w:cs="Arial"/>
          <w:lang w:val="en-GB" w:eastAsia="ja-JP"/>
        </w:rPr>
        <w:t xml:space="preserve"> DL </w:t>
      </w:r>
      <w:r w:rsidRPr="008044AD">
        <w:rPr>
          <w:rFonts w:cs="Arial"/>
          <w:lang w:val="en-GB" w:eastAsia="ja-JP"/>
        </w:rPr>
        <w:t>transmission</w:t>
      </w:r>
      <w:r w:rsidR="003D14F0">
        <w:rPr>
          <w:rFonts w:cs="Arial"/>
          <w:lang w:val="en-GB" w:eastAsia="ja-JP"/>
        </w:rPr>
        <w:t xml:space="preserve"> timing</w:t>
      </w:r>
      <w:r w:rsidR="00E90A6F">
        <w:rPr>
          <w:rFonts w:cs="Arial"/>
          <w:lang w:val="en-GB" w:eastAsia="ja-JP"/>
        </w:rPr>
        <w:t>, which corresponds in principle to the propagation delay between both nodes</w:t>
      </w:r>
      <w:r w:rsidRPr="008044AD">
        <w:rPr>
          <w:rFonts w:cs="Arial"/>
          <w:lang w:val="en-GB" w:eastAsia="ja-JP"/>
        </w:rPr>
        <w:t>.</w:t>
      </w:r>
      <w:r w:rsidR="00E90A6F">
        <w:rPr>
          <w:rFonts w:cs="Arial"/>
          <w:lang w:val="en-GB" w:eastAsia="ja-JP"/>
        </w:rPr>
        <w:t xml:space="preserve"> In the following</w:t>
      </w:r>
      <w:r w:rsidR="00DA5617">
        <w:rPr>
          <w:rFonts w:cs="Arial"/>
          <w:lang w:val="en-GB" w:eastAsia="ja-JP"/>
        </w:rPr>
        <w:t>,</w:t>
      </w:r>
      <w:r w:rsidR="00E90A6F">
        <w:rPr>
          <w:rFonts w:cs="Arial"/>
          <w:lang w:val="en-GB" w:eastAsia="ja-JP"/>
        </w:rPr>
        <w:t xml:space="preserve"> the IAB-node </w:t>
      </w:r>
      <w:r w:rsidR="00DA5617">
        <w:rPr>
          <w:rFonts w:cs="Arial"/>
          <w:lang w:val="en-GB" w:eastAsia="ja-JP"/>
        </w:rPr>
        <w:t xml:space="preserve">can </w:t>
      </w:r>
      <w:r w:rsidR="00E90A6F">
        <w:rPr>
          <w:rFonts w:cs="Arial"/>
          <w:lang w:val="en-GB" w:eastAsia="ja-JP"/>
        </w:rPr>
        <w:t>perform UL transmission with the same transmission timing as its DL transmissions.</w:t>
      </w:r>
      <w:r w:rsidR="00CC4F71">
        <w:rPr>
          <w:rFonts w:cs="Arial"/>
          <w:lang w:val="en-GB" w:eastAsia="ja-JP"/>
        </w:rPr>
        <w:t xml:space="preserve"> Since the parent IAB-node knows the propagation delay, it can adjust its UL reception timing appropriately in a first step (i.e., offset by the measured propagation delay relative to its GNSS-set DL transmission timing) and</w:t>
      </w:r>
      <w:r w:rsidR="00DA5617">
        <w:rPr>
          <w:rFonts w:cs="Arial"/>
          <w:lang w:val="en-GB" w:eastAsia="ja-JP"/>
        </w:rPr>
        <w:t>, if necessary,</w:t>
      </w:r>
      <w:r w:rsidR="00CC4F71">
        <w:rPr>
          <w:rFonts w:cs="Arial"/>
          <w:lang w:val="en-GB" w:eastAsia="ja-JP"/>
        </w:rPr>
        <w:t xml:space="preserve"> re-adjust it for </w:t>
      </w:r>
      <w:r w:rsidR="00DA5617">
        <w:rPr>
          <w:rFonts w:cs="Arial"/>
          <w:lang w:val="en-GB" w:eastAsia="ja-JP"/>
        </w:rPr>
        <w:t>subsequent</w:t>
      </w:r>
      <w:r w:rsidR="00CC4F71">
        <w:rPr>
          <w:rFonts w:cs="Arial"/>
          <w:lang w:val="en-GB" w:eastAsia="ja-JP"/>
        </w:rPr>
        <w:t xml:space="preserve"> UL receptions through tracking.</w:t>
      </w:r>
    </w:p>
    <w:p w14:paraId="0F6ADBA4" w14:textId="4D5E4C48" w:rsidR="00141A3E" w:rsidRPr="00C678A1" w:rsidRDefault="00141A3E" w:rsidP="003236FD">
      <w:pPr>
        <w:jc w:val="both"/>
        <w:rPr>
          <w:lang w:val="en-GB"/>
        </w:rPr>
      </w:pPr>
      <w:r w:rsidRPr="00C678A1">
        <w:rPr>
          <w:lang w:val="en-GB"/>
        </w:rPr>
        <w:t>An IAB-node operating in a timing configuration Case-7 has full control over its reception timing that is delayed (relative to its GNSS-based DL transmission timing) by the parent link propagation delay. The UL transmission timing of child nodes can in principle be adjusted by TA commands without the need for additional GNSS assistance. This shows that GNSS is a sufficient synchronization option for both Case-6 and Case-7 timing configuration.</w:t>
      </w:r>
    </w:p>
    <w:p w14:paraId="139FC36C" w14:textId="21C168A5" w:rsidR="003742AC" w:rsidRDefault="00236AFA" w:rsidP="00074C07">
      <w:pPr>
        <w:pStyle w:val="Observation"/>
      </w:pPr>
      <w:bookmarkStart w:id="19" w:name="_Toc71663437"/>
      <w:r w:rsidRPr="00C678A1">
        <w:t>GNSS is a sufficient synchronization option for both Case-6 and Case-7 timing configurations</w:t>
      </w:r>
      <w:r w:rsidR="00C9290E" w:rsidRPr="00C678A1">
        <w:t>.</w:t>
      </w:r>
      <w:bookmarkEnd w:id="19"/>
    </w:p>
    <w:p w14:paraId="13D8539E" w14:textId="62190F86" w:rsidR="00DD7148" w:rsidRPr="00C678A1" w:rsidRDefault="00DD7148" w:rsidP="00074C07">
      <w:pPr>
        <w:pStyle w:val="Proposal"/>
      </w:pPr>
      <w:bookmarkStart w:id="20" w:name="_Toc71663445"/>
      <w:r>
        <w:t>IAB nodes using GNSS can rely on GNSS for Case-6 and Case-7 timing.</w:t>
      </w:r>
      <w:bookmarkEnd w:id="20"/>
    </w:p>
    <w:p w14:paraId="5521A5FE" w14:textId="64AD4008" w:rsidR="006E062C" w:rsidRDefault="00850C37" w:rsidP="00CE0424">
      <w:pPr>
        <w:pStyle w:val="Heading1"/>
      </w:pPr>
      <w:bookmarkStart w:id="21" w:name="_Ref189046994"/>
      <w:r>
        <w:t>Interference management</w:t>
      </w:r>
      <w:bookmarkEnd w:id="21"/>
    </w:p>
    <w:p w14:paraId="6CE0A18E" w14:textId="03859416" w:rsidR="00CD1FF9" w:rsidRPr="00D73593" w:rsidRDefault="00CD1FF9" w:rsidP="00CD1FF9">
      <w:pPr>
        <w:jc w:val="both"/>
        <w:rPr>
          <w:lang w:val="en-GB"/>
        </w:rPr>
      </w:pPr>
      <w:r w:rsidRPr="00D73593">
        <w:rPr>
          <w:lang w:val="en-GB"/>
        </w:rPr>
        <w:t>RAN4 has agreed on two different IAB-node classes, namely, wide- and local-area IAB-nodes, with distinct properties.</w:t>
      </w:r>
      <w:r w:rsidRPr="00D73593" w:rsidDel="004A0B34">
        <w:rPr>
          <w:lang w:val="en-GB"/>
        </w:rPr>
        <w:t xml:space="preserve"> </w:t>
      </w:r>
      <w:r w:rsidRPr="00D73593">
        <w:rPr>
          <w:lang w:val="en-GB"/>
        </w:rPr>
        <w:t xml:space="preserve">The use-case for the wide-area IAB-node is that it is an independent IAB-node providing its own coverage, requiring a long distance backhaul link to connect to its parent IAB-node. Wide-area IAB-node deployment can be assumed to be </w:t>
      </w:r>
      <w:r w:rsidRPr="00D73593">
        <w:rPr>
          <w:i/>
          <w:lang w:val="en-GB"/>
        </w:rPr>
        <w:t>well-planned,</w:t>
      </w:r>
      <w:r w:rsidRPr="00D73593">
        <w:rPr>
          <w:lang w:val="en-GB"/>
        </w:rPr>
        <w:t xml:space="preserve"> planned by operators, with little need for power control</w:t>
      </w:r>
      <w:r w:rsidRPr="00D73593" w:rsidDel="004A0B34">
        <w:rPr>
          <w:lang w:val="en-GB"/>
        </w:rPr>
        <w:t xml:space="preserve"> </w:t>
      </w:r>
      <w:r w:rsidRPr="00D73593">
        <w:rPr>
          <w:lang w:val="en-GB"/>
        </w:rPr>
        <w:t>and limited dynamic range (</w:t>
      </w:r>
      <w:r w:rsidR="0051401F">
        <w:rPr>
          <w:lang w:val="en-GB"/>
        </w:rPr>
        <w:t>a</w:t>
      </w:r>
      <w:r w:rsidRPr="00D73593">
        <w:rPr>
          <w:lang w:val="en-GB"/>
        </w:rPr>
        <w:t xml:space="preserve">ccording to </w:t>
      </w:r>
      <w:r w:rsidR="0051401F">
        <w:rPr>
          <w:lang w:val="en-GB"/>
        </w:rPr>
        <w:fldChar w:fldCharType="begin"/>
      </w:r>
      <w:r w:rsidR="0051401F">
        <w:rPr>
          <w:lang w:val="en-GB"/>
        </w:rPr>
        <w:instrText xml:space="preserve"> REF _Ref71550078 \w \h </w:instrText>
      </w:r>
      <w:r w:rsidR="0051401F">
        <w:rPr>
          <w:lang w:val="en-GB"/>
        </w:rPr>
      </w:r>
      <w:r w:rsidR="0051401F">
        <w:rPr>
          <w:lang w:val="en-GB"/>
        </w:rPr>
        <w:fldChar w:fldCharType="separate"/>
      </w:r>
      <w:r w:rsidR="000E3397">
        <w:rPr>
          <w:lang w:val="en-GB"/>
        </w:rPr>
        <w:t>[7]</w:t>
      </w:r>
      <w:r w:rsidR="0051401F">
        <w:rPr>
          <w:lang w:val="en-GB"/>
        </w:rPr>
        <w:fldChar w:fldCharType="end"/>
      </w:r>
      <w:r w:rsidRPr="00D73593">
        <w:rPr>
          <w:lang w:val="en-GB"/>
        </w:rPr>
        <w:t>, the dynamic range of the wide-area IAB-MT</w:t>
      </w:r>
      <w:r w:rsidR="00236AFA">
        <w:rPr>
          <w:lang w:val="en-GB"/>
        </w:rPr>
        <w:t>s</w:t>
      </w:r>
      <w:r w:rsidRPr="00D73593">
        <w:rPr>
          <w:lang w:val="en-GB"/>
        </w:rPr>
        <w:t xml:space="preserve"> is limited to 5 dB). Particularly, the wide-area IAB-MT looks like a normal gNB, in terms of, e.g., high transmit power, beamforming and antenna gains. Importantly, in addition to the already mentioned planned deployment, RAN4 considers </w:t>
      </w:r>
      <w:r w:rsidRPr="00D73593">
        <w:rPr>
          <w:lang w:val="en-GB"/>
        </w:rPr>
        <w:lastRenderedPageBreak/>
        <w:t>wide-area IAB networks to be stationary; for instance, a minimum required distance between the nodes to avoid extreme interference to the network can be guaranteed. As a result, in such cases, and in general for planned and stationary networks,</w:t>
      </w:r>
      <w:r w:rsidRPr="00D73593" w:rsidDel="002B5807">
        <w:rPr>
          <w:lang w:val="en-GB"/>
        </w:rPr>
        <w:t xml:space="preserve"> </w:t>
      </w:r>
      <w:r w:rsidRPr="00D73593">
        <w:rPr>
          <w:lang w:val="en-GB"/>
        </w:rPr>
        <w:t>interference can be well handled during the network planning phase, and, given its complexity, additional interference measurements are not necessarily required, as a long as certain conditions described below are satisfied.</w:t>
      </w:r>
    </w:p>
    <w:p w14:paraId="00A2B462" w14:textId="13B27FE6" w:rsidR="00CD1FF9" w:rsidRPr="00D73593" w:rsidRDefault="00CD1FF9" w:rsidP="00CD1FF9">
      <w:pPr>
        <w:jc w:val="both"/>
        <w:rPr>
          <w:lang w:val="en-GB"/>
        </w:rPr>
      </w:pPr>
      <w:r w:rsidRPr="00D73593">
        <w:rPr>
          <w:lang w:val="en-GB"/>
        </w:rPr>
        <w:t xml:space="preserve">Considering a wide-area IAB network using high-power IAB-MTs with very high EIRP, any IAB transmission competing with a UE transmission in an uplink slot can have severe impact on the performance of IAB-DUs and gNB receiving UE transmissions, both inside </w:t>
      </w:r>
      <w:r w:rsidRPr="00D73593">
        <w:rPr>
          <w:i/>
          <w:lang w:val="en-GB"/>
        </w:rPr>
        <w:t>and outside the IAB network</w:t>
      </w:r>
      <w:r w:rsidRPr="00D73593">
        <w:rPr>
          <w:lang w:val="en-GB"/>
        </w:rPr>
        <w:t>. For instance, with an upstream transmission of IAB-MT to the parent IAB-DU in an UL slot, there is a risk that the signal transmitted by a UE to a neighbour gNB (or the parent IAB-DU itself) will be highly affected by interference. On the other hand, wide-area IAB-nodes would have similar interference properties as gNBs if downlink slots are used for upstream backhauling as well. Similarly, severe interference due to, e.g., IAB-DU transmissions in uplink slots can be expected, as it may affect nodes in both the IAB network and the neighbour non-IAB network. Furthermore, for any case where a wide-area high power IAB transmission takes place in UL slots, the victims of the interference are not only the geographical neighbours on the same carrier but also the non-IAB networks in adjacent spectrum/channels. This situation is typically not accounted for during present network planning.</w:t>
      </w:r>
    </w:p>
    <w:p w14:paraId="7CEEC760" w14:textId="77777777" w:rsidR="00CD1FF9" w:rsidRPr="00D73593" w:rsidRDefault="00CD1FF9" w:rsidP="00074C07">
      <w:pPr>
        <w:pStyle w:val="Observation"/>
      </w:pPr>
      <w:bookmarkStart w:id="22" w:name="_Toc61900510"/>
      <w:bookmarkStart w:id="23" w:name="_Toc71663438"/>
      <w:r w:rsidRPr="00D73593">
        <w:t>For wide-area IAB-nodes using downlink slots for backhaul transmissions, network planning is sufficient for interference mitigation.</w:t>
      </w:r>
      <w:bookmarkEnd w:id="22"/>
      <w:bookmarkEnd w:id="23"/>
    </w:p>
    <w:p w14:paraId="6F639B6B" w14:textId="77777777" w:rsidR="00CD1FF9" w:rsidRPr="00D73593" w:rsidRDefault="00CD1FF9" w:rsidP="00074C07">
      <w:pPr>
        <w:pStyle w:val="Observation"/>
      </w:pPr>
      <w:bookmarkStart w:id="24" w:name="_Toc61900511"/>
      <w:bookmarkStart w:id="25" w:name="_Toc71663439"/>
      <w:r w:rsidRPr="00D73593">
        <w:t>For wide-area IAB-nodes using uplink slots for uplink backhaul, the most critical interference situation is when an IAB-MT transmission interferes with a UE transmission, and amounts to a gNB transmitting in UL slots.</w:t>
      </w:r>
      <w:bookmarkEnd w:id="24"/>
      <w:bookmarkEnd w:id="25"/>
    </w:p>
    <w:p w14:paraId="5B4E52AD" w14:textId="77777777" w:rsidR="00CD1FF9" w:rsidRPr="00D73593" w:rsidRDefault="00CD1FF9" w:rsidP="00074C07">
      <w:pPr>
        <w:pStyle w:val="Observation"/>
      </w:pPr>
      <w:bookmarkStart w:id="26" w:name="_Toc61900512"/>
      <w:bookmarkStart w:id="27" w:name="_Toc71663440"/>
      <w:r w:rsidRPr="00D73593">
        <w:t>Wide-area IAB-nodes transmitting in UL slots would cause interference outside the IAB network, causing unexpected blind spots with reduced coverage, and would require more extensive network planning, complicating deployment flexibility, which may affect the overall network performance.</w:t>
      </w:r>
      <w:bookmarkEnd w:id="26"/>
      <w:bookmarkEnd w:id="27"/>
    </w:p>
    <w:p w14:paraId="66C6ABF5" w14:textId="2D6C1993" w:rsidR="00CD1FF9" w:rsidRPr="00D73593" w:rsidRDefault="00CD1FF9" w:rsidP="00CD1FF9">
      <w:pPr>
        <w:jc w:val="both"/>
        <w:rPr>
          <w:lang w:val="en-GB"/>
        </w:rPr>
      </w:pPr>
      <w:r w:rsidRPr="00D73593">
        <w:rPr>
          <w:lang w:val="en-GB" w:eastAsia="en-GB"/>
        </w:rPr>
        <w:t xml:space="preserve">The use-case for the local-area IAB-node is to boost capacity within an already existing cell served by a donor or parent IAB-node. Local-area IAB networks can be </w:t>
      </w:r>
      <w:proofErr w:type="gramStart"/>
      <w:r w:rsidRPr="00D73593">
        <w:rPr>
          <w:lang w:val="en-GB" w:eastAsia="en-GB"/>
        </w:rPr>
        <w:t>fairly unplanned</w:t>
      </w:r>
      <w:proofErr w:type="gramEnd"/>
      <w:r w:rsidRPr="00D73593">
        <w:rPr>
          <w:lang w:val="en-GB" w:eastAsia="en-GB"/>
        </w:rPr>
        <w:t xml:space="preserve">, and the IAB-MT transmit power may range between those of UEs and gNBs, both of which are properties requiring power control. For this reason, the IAB-MT has higher dynamic range (10 dB, </w:t>
      </w:r>
      <w:r w:rsidR="00CA5C08">
        <w:rPr>
          <w:lang w:val="en-GB" w:eastAsia="en-GB"/>
        </w:rPr>
        <w:t>according to</w:t>
      </w:r>
      <w:r w:rsidRPr="00D73593">
        <w:rPr>
          <w:lang w:val="en-GB" w:eastAsia="en-GB"/>
        </w:rPr>
        <w:t xml:space="preserve"> </w:t>
      </w:r>
      <w:r w:rsidR="00735B6E">
        <w:rPr>
          <w:lang w:val="en-GB" w:eastAsia="en-GB"/>
        </w:rPr>
        <w:fldChar w:fldCharType="begin"/>
      </w:r>
      <w:r w:rsidR="00735B6E">
        <w:rPr>
          <w:lang w:val="en-GB" w:eastAsia="en-GB"/>
        </w:rPr>
        <w:instrText xml:space="preserve"> REF _Ref71550078 \w \h </w:instrText>
      </w:r>
      <w:r w:rsidR="00735B6E">
        <w:rPr>
          <w:lang w:val="en-GB" w:eastAsia="en-GB"/>
        </w:rPr>
      </w:r>
      <w:r w:rsidR="00735B6E">
        <w:rPr>
          <w:lang w:val="en-GB" w:eastAsia="en-GB"/>
        </w:rPr>
        <w:fldChar w:fldCharType="separate"/>
      </w:r>
      <w:r w:rsidR="000E3397">
        <w:rPr>
          <w:lang w:val="en-GB" w:eastAsia="en-GB"/>
        </w:rPr>
        <w:t>[7]</w:t>
      </w:r>
      <w:r w:rsidR="00735B6E">
        <w:rPr>
          <w:lang w:val="en-GB" w:eastAsia="en-GB"/>
        </w:rPr>
        <w:fldChar w:fldCharType="end"/>
      </w:r>
      <w:r w:rsidRPr="00D73593">
        <w:rPr>
          <w:lang w:val="en-GB" w:eastAsia="en-GB"/>
        </w:rPr>
        <w:t>) and should be capable of more sophisticated power control. In such cases, interference measurements may be required to minimize interference, and, because of the UE-like characteristics of the IAB-MT, backhaul uplink operation can</w:t>
      </w:r>
      <w:r w:rsidRPr="00D73593" w:rsidDel="0049049A">
        <w:rPr>
          <w:lang w:val="en-GB" w:eastAsia="en-GB"/>
        </w:rPr>
        <w:t xml:space="preserve"> </w:t>
      </w:r>
      <w:r w:rsidRPr="00D73593">
        <w:rPr>
          <w:lang w:val="en-GB" w:eastAsia="en-GB"/>
        </w:rPr>
        <w:t>advantageously be performed in uplink slots. However, it should be noted that, even with a local-area IAB, still, the DU transmission within UL slots, as it may occur in simultaneous Tx/Tx operation, can cause an unacceptable interference to the network.</w:t>
      </w:r>
    </w:p>
    <w:p w14:paraId="6EBFD288" w14:textId="409F7B2C" w:rsidR="00CD1FF9" w:rsidRPr="00D73593" w:rsidRDefault="00CD1FF9" w:rsidP="00CD1FF9">
      <w:pPr>
        <w:jc w:val="both"/>
        <w:rPr>
          <w:lang w:val="en-GB" w:eastAsia="en-GB"/>
        </w:rPr>
      </w:pPr>
      <w:r w:rsidRPr="00D73593">
        <w:rPr>
          <w:lang w:val="en-GB" w:eastAsia="en-GB"/>
        </w:rPr>
        <w:t>The above presents our view of the main differences between wide-area and local-area IAB-nodes as well as using DL or UL slots for backhauling. Particularly, as discussed in our previous contribution (</w:t>
      </w:r>
      <w:r w:rsidR="0051401F">
        <w:rPr>
          <w:lang w:val="en-GB" w:eastAsia="en-GB"/>
        </w:rPr>
        <w:t>s</w:t>
      </w:r>
      <w:r w:rsidRPr="00D73593">
        <w:rPr>
          <w:lang w:val="en-GB" w:eastAsia="en-GB"/>
        </w:rPr>
        <w:t xml:space="preserve">ee </w:t>
      </w:r>
      <w:r w:rsidR="0051401F">
        <w:rPr>
          <w:lang w:val="en-GB" w:eastAsia="en-GB"/>
        </w:rPr>
        <w:fldChar w:fldCharType="begin"/>
      </w:r>
      <w:r w:rsidR="0051401F">
        <w:rPr>
          <w:lang w:val="en-GB" w:eastAsia="en-GB"/>
        </w:rPr>
        <w:instrText xml:space="preserve"> REF _Ref71549697 \w \h </w:instrText>
      </w:r>
      <w:r w:rsidR="0051401F">
        <w:rPr>
          <w:lang w:val="en-GB" w:eastAsia="en-GB"/>
        </w:rPr>
      </w:r>
      <w:r w:rsidR="0051401F">
        <w:rPr>
          <w:lang w:val="en-GB" w:eastAsia="en-GB"/>
        </w:rPr>
        <w:fldChar w:fldCharType="separate"/>
      </w:r>
      <w:r w:rsidR="000E3397">
        <w:rPr>
          <w:lang w:val="en-GB" w:eastAsia="en-GB"/>
        </w:rPr>
        <w:t>[5]</w:t>
      </w:r>
      <w:r w:rsidR="0051401F">
        <w:rPr>
          <w:lang w:val="en-GB" w:eastAsia="en-GB"/>
        </w:rPr>
        <w:fldChar w:fldCharType="end"/>
      </w:r>
      <w:r w:rsidRPr="00D73593">
        <w:rPr>
          <w:lang w:val="en-GB" w:eastAsia="en-GB"/>
        </w:rPr>
        <w:t>, Table 5 and Fig. 7), from an interference point of view, the worst cases are identified to be wide-area nodes backhauling in UL slots where, for instance, the MT to DU interference may affect the QoS of the UE connections severely.</w:t>
      </w:r>
    </w:p>
    <w:p w14:paraId="475C5892" w14:textId="12567A9D" w:rsidR="00CD1FF9" w:rsidRPr="00D73593" w:rsidRDefault="00CD1FF9" w:rsidP="00CD1FF9">
      <w:pPr>
        <w:jc w:val="both"/>
        <w:rPr>
          <w:lang w:val="en-GB" w:eastAsia="en-GB"/>
        </w:rPr>
      </w:pPr>
      <w:r w:rsidRPr="00D73593">
        <w:rPr>
          <w:lang w:val="en-GB"/>
        </w:rPr>
        <w:t xml:space="preserve">It should be noted that the multiplexing Case A and Case B will lead to substantially different interference effects. </w:t>
      </w:r>
      <w:r w:rsidRPr="00D73593">
        <w:rPr>
          <w:lang w:val="en-GB" w:eastAsia="en-GB"/>
        </w:rPr>
        <w:t xml:space="preserve">Therefore, </w:t>
      </w:r>
      <w:proofErr w:type="gramStart"/>
      <w:r w:rsidRPr="00D73593">
        <w:rPr>
          <w:lang w:val="en-GB" w:eastAsia="en-GB"/>
        </w:rPr>
        <w:t>in order to</w:t>
      </w:r>
      <w:proofErr w:type="gramEnd"/>
      <w:r w:rsidRPr="00D73593">
        <w:rPr>
          <w:lang w:val="en-GB" w:eastAsia="en-GB"/>
        </w:rPr>
        <w:t xml:space="preserve"> limit the interference effects, one needs to determine if such simultaneous operations are performed in DL or UL slots, as well as if the slots are only restricted to backhaul traffic or also includes access traffic. These points, however, are currently not clear in the discussions, and require clarifications.</w:t>
      </w:r>
    </w:p>
    <w:p w14:paraId="3CBEB3C7" w14:textId="77777777" w:rsidR="00CD1FF9" w:rsidRPr="00D73593" w:rsidRDefault="00CD1FF9" w:rsidP="00CD1FF9">
      <w:pPr>
        <w:jc w:val="both"/>
        <w:rPr>
          <w:lang w:val="en-GB" w:eastAsia="en-GB"/>
        </w:rPr>
      </w:pPr>
      <w:r w:rsidRPr="00D73593">
        <w:rPr>
          <w:lang w:val="en-GB" w:eastAsia="en-GB"/>
        </w:rPr>
        <w:t>The above discussion leads to the following proposals.</w:t>
      </w:r>
    </w:p>
    <w:p w14:paraId="7B03B1DB" w14:textId="77777777" w:rsidR="00CD1FF9" w:rsidRPr="00D73593" w:rsidRDefault="00CD1FF9" w:rsidP="00074C07">
      <w:pPr>
        <w:pStyle w:val="Proposal"/>
      </w:pPr>
      <w:bookmarkStart w:id="28" w:name="_Toc61900519"/>
      <w:bookmarkStart w:id="29" w:name="_Toc71663446"/>
      <w:r w:rsidRPr="00D73593">
        <w:t>RAN1 should focus on the cases where interference is more severe than in a non-IAB network.</w:t>
      </w:r>
      <w:bookmarkEnd w:id="28"/>
      <w:bookmarkEnd w:id="29"/>
    </w:p>
    <w:p w14:paraId="57CB1339" w14:textId="77777777" w:rsidR="00CD1FF9" w:rsidRPr="00D73593" w:rsidRDefault="00CD1FF9" w:rsidP="00074C07">
      <w:pPr>
        <w:pStyle w:val="Proposal"/>
      </w:pPr>
      <w:bookmarkStart w:id="30" w:name="_Toc61900520"/>
      <w:bookmarkStart w:id="31" w:name="_Toc71663447"/>
      <w:r w:rsidRPr="00D73593">
        <w:t>To identify and address relevant interference scenarios, RAN1 should agree on:</w:t>
      </w:r>
      <w:bookmarkEnd w:id="30"/>
      <w:bookmarkEnd w:id="31"/>
    </w:p>
    <w:p w14:paraId="24AD4481" w14:textId="77777777" w:rsidR="00CD1FF9" w:rsidRPr="00D73593" w:rsidRDefault="00CD1FF9" w:rsidP="00074C07">
      <w:pPr>
        <w:pStyle w:val="Proposal"/>
        <w:numPr>
          <w:ilvl w:val="1"/>
          <w:numId w:val="3"/>
        </w:numPr>
      </w:pPr>
      <w:bookmarkStart w:id="32" w:name="_Toc61900521"/>
      <w:bookmarkStart w:id="33" w:name="_Toc71663448"/>
      <w:r w:rsidRPr="00D73593">
        <w:t>Whether multiplexing Case-A and Case-B should take place in DL and/or UL slots for wide-area IAB-nodes,</w:t>
      </w:r>
      <w:bookmarkEnd w:id="32"/>
      <w:bookmarkEnd w:id="33"/>
    </w:p>
    <w:p w14:paraId="2629D7B1" w14:textId="77777777" w:rsidR="00CD1FF9" w:rsidRPr="00D73593" w:rsidRDefault="00CD1FF9" w:rsidP="00074C07">
      <w:pPr>
        <w:pStyle w:val="Proposal"/>
        <w:numPr>
          <w:ilvl w:val="1"/>
          <w:numId w:val="3"/>
        </w:numPr>
      </w:pPr>
      <w:bookmarkStart w:id="34" w:name="_Toc61900522"/>
      <w:bookmarkStart w:id="35" w:name="_Toc71663449"/>
      <w:r w:rsidRPr="00D73593">
        <w:t>Whether backhaul traffic is separated from or mixed with access traffic, and,</w:t>
      </w:r>
      <w:bookmarkEnd w:id="34"/>
      <w:bookmarkEnd w:id="35"/>
    </w:p>
    <w:p w14:paraId="2E445813" w14:textId="77777777" w:rsidR="00CD1FF9" w:rsidRPr="00D73593" w:rsidRDefault="00CD1FF9" w:rsidP="00074C07">
      <w:pPr>
        <w:pStyle w:val="Proposal"/>
        <w:numPr>
          <w:ilvl w:val="1"/>
          <w:numId w:val="3"/>
        </w:numPr>
      </w:pPr>
      <w:bookmarkStart w:id="36" w:name="_Toc61900523"/>
      <w:bookmarkStart w:id="37" w:name="_Toc71663450"/>
      <w:r w:rsidRPr="00D73593">
        <w:lastRenderedPageBreak/>
        <w:t>Whether the interference scenario is relevant for wide-area and/or local-area nodes.</w:t>
      </w:r>
      <w:bookmarkEnd w:id="36"/>
      <w:bookmarkEnd w:id="37"/>
    </w:p>
    <w:p w14:paraId="0EF3A247" w14:textId="77777777" w:rsidR="00CD1FF9" w:rsidRPr="00D73593" w:rsidRDefault="00CD1FF9" w:rsidP="00074C07">
      <w:pPr>
        <w:pStyle w:val="Proposal"/>
      </w:pPr>
      <w:bookmarkStart w:id="38" w:name="_Toc61900524"/>
      <w:bookmarkStart w:id="39" w:name="_Toc71663451"/>
      <w:r w:rsidRPr="00D73593">
        <w:t>A wide-area IAB-DU only transmits in DL slots.</w:t>
      </w:r>
      <w:bookmarkEnd w:id="38"/>
      <w:bookmarkEnd w:id="39"/>
    </w:p>
    <w:p w14:paraId="33A53B4F" w14:textId="77777777" w:rsidR="00CD1FF9" w:rsidRPr="00D73593" w:rsidRDefault="00CD1FF9" w:rsidP="00074C07">
      <w:pPr>
        <w:pStyle w:val="Proposal"/>
      </w:pPr>
      <w:bookmarkStart w:id="40" w:name="_Toc61900525"/>
      <w:bookmarkStart w:id="41" w:name="_Toc71663452"/>
      <w:r w:rsidRPr="00D73593">
        <w:t>Backhaul traffic is assumed to be separated from access traffic.</w:t>
      </w:r>
      <w:bookmarkEnd w:id="40"/>
      <w:bookmarkEnd w:id="41"/>
    </w:p>
    <w:p w14:paraId="174217B8" w14:textId="77777777" w:rsidR="00CD1FF9" w:rsidRPr="00D73593" w:rsidRDefault="00CD1FF9" w:rsidP="00074C07">
      <w:pPr>
        <w:pStyle w:val="Proposal"/>
      </w:pPr>
      <w:bookmarkStart w:id="42" w:name="_Toc61900526"/>
      <w:bookmarkStart w:id="43" w:name="_Toc71663453"/>
      <w:proofErr w:type="gramStart"/>
      <w:r w:rsidRPr="00D73593">
        <w:t>Similar to</w:t>
      </w:r>
      <w:proofErr w:type="gramEnd"/>
      <w:r w:rsidRPr="00D73593">
        <w:t xml:space="preserve"> gNBs, interference management between wide-area IABs operating backhaul links in DL slots is handled by network planning.</w:t>
      </w:r>
      <w:bookmarkEnd w:id="42"/>
      <w:bookmarkEnd w:id="43"/>
    </w:p>
    <w:p w14:paraId="022F5DA5" w14:textId="77777777" w:rsidR="000F5FDD" w:rsidRPr="005E0814" w:rsidRDefault="00CD1FF9" w:rsidP="005E0814">
      <w:pPr>
        <w:jc w:val="both"/>
      </w:pPr>
      <w:r w:rsidRPr="005E0814">
        <w:t>Although network planning can handle the interference, at least in wide-area IAB, it is still interesting to study different interference scenarios and their possible measurement techniques one by one, as they may be discussed in the meeting:</w:t>
      </w:r>
    </w:p>
    <w:p w14:paraId="65B0FB8F" w14:textId="16C5431A" w:rsidR="000F5FDD" w:rsidRPr="006A6CF1" w:rsidRDefault="000F5FDD" w:rsidP="005E0814">
      <w:pPr>
        <w:pStyle w:val="ListParagraph"/>
        <w:numPr>
          <w:ilvl w:val="0"/>
          <w:numId w:val="24"/>
        </w:numPr>
        <w:jc w:val="both"/>
        <w:rPr>
          <w:rFonts w:ascii="Arial" w:hAnsi="Arial" w:cs="Arial"/>
          <w:sz w:val="20"/>
          <w:szCs w:val="20"/>
        </w:rPr>
      </w:pPr>
      <w:r w:rsidRPr="006A6CF1">
        <w:rPr>
          <w:rFonts w:ascii="Arial" w:hAnsi="Arial" w:cs="Arial"/>
          <w:sz w:val="20"/>
          <w:szCs w:val="20"/>
        </w:rPr>
        <w:t xml:space="preserve">DU-to-DU: </w:t>
      </w:r>
      <w:proofErr w:type="spellStart"/>
      <w:r w:rsidRPr="006A6CF1">
        <w:rPr>
          <w:rFonts w:ascii="Arial" w:hAnsi="Arial" w:cs="Arial"/>
          <w:sz w:val="20"/>
          <w:szCs w:val="20"/>
        </w:rPr>
        <w:t>We</w:t>
      </w:r>
      <w:proofErr w:type="spellEnd"/>
      <w:r w:rsidRPr="006A6CF1">
        <w:rPr>
          <w:rFonts w:ascii="Arial" w:hAnsi="Arial" w:cs="Arial"/>
          <w:sz w:val="20"/>
          <w:szCs w:val="20"/>
        </w:rPr>
        <w:t xml:space="preserve"> </w:t>
      </w:r>
      <w:proofErr w:type="spellStart"/>
      <w:r w:rsidRPr="006A6CF1">
        <w:rPr>
          <w:rFonts w:ascii="Arial" w:hAnsi="Arial" w:cs="Arial"/>
          <w:sz w:val="20"/>
          <w:szCs w:val="20"/>
        </w:rPr>
        <w:t>believe</w:t>
      </w:r>
      <w:proofErr w:type="spellEnd"/>
      <w:r w:rsidRPr="006A6CF1">
        <w:rPr>
          <w:rFonts w:ascii="Arial" w:hAnsi="Arial" w:cs="Arial"/>
          <w:sz w:val="20"/>
          <w:szCs w:val="20"/>
        </w:rPr>
        <w:t xml:space="preserve"> </w:t>
      </w:r>
      <w:proofErr w:type="spellStart"/>
      <w:r w:rsidRPr="006A6CF1">
        <w:rPr>
          <w:rFonts w:ascii="Arial" w:hAnsi="Arial" w:cs="Arial"/>
          <w:sz w:val="20"/>
          <w:szCs w:val="20"/>
        </w:rPr>
        <w:t>that</w:t>
      </w:r>
      <w:proofErr w:type="spellEnd"/>
      <w:r w:rsidRPr="006A6CF1">
        <w:rPr>
          <w:rFonts w:ascii="Arial" w:hAnsi="Arial" w:cs="Arial"/>
          <w:sz w:val="20"/>
          <w:szCs w:val="20"/>
        </w:rPr>
        <w:t xml:space="preserve"> no DU-to-DU interference measurement and reporting mechanisms need to be specified, as the DU-to-DU interference should be avoided by network planning and configuration. </w:t>
      </w:r>
      <w:proofErr w:type="spellStart"/>
      <w:r w:rsidRPr="006A6CF1">
        <w:rPr>
          <w:rFonts w:ascii="Arial" w:hAnsi="Arial" w:cs="Arial"/>
          <w:sz w:val="20"/>
          <w:szCs w:val="20"/>
        </w:rPr>
        <w:t>Here</w:t>
      </w:r>
      <w:proofErr w:type="spellEnd"/>
      <w:r w:rsidRPr="006A6CF1">
        <w:rPr>
          <w:rFonts w:ascii="Arial" w:hAnsi="Arial" w:cs="Arial"/>
          <w:sz w:val="20"/>
          <w:szCs w:val="20"/>
        </w:rPr>
        <w:t xml:space="preserve">, it is </w:t>
      </w:r>
      <w:proofErr w:type="spellStart"/>
      <w:r w:rsidRPr="006A6CF1">
        <w:rPr>
          <w:rFonts w:ascii="Arial" w:hAnsi="Arial" w:cs="Arial"/>
          <w:sz w:val="20"/>
          <w:szCs w:val="20"/>
        </w:rPr>
        <w:t>interesting</w:t>
      </w:r>
      <w:proofErr w:type="spellEnd"/>
      <w:r w:rsidRPr="006A6CF1">
        <w:rPr>
          <w:rFonts w:ascii="Arial" w:hAnsi="Arial" w:cs="Arial"/>
          <w:sz w:val="20"/>
          <w:szCs w:val="20"/>
        </w:rPr>
        <w:t xml:space="preserve"> to </w:t>
      </w:r>
      <w:proofErr w:type="spellStart"/>
      <w:r w:rsidRPr="006A6CF1">
        <w:rPr>
          <w:rFonts w:ascii="Arial" w:hAnsi="Arial" w:cs="Arial"/>
          <w:sz w:val="20"/>
          <w:szCs w:val="20"/>
        </w:rPr>
        <w:t>mention</w:t>
      </w:r>
      <w:proofErr w:type="spellEnd"/>
      <w:r w:rsidRPr="006A6CF1">
        <w:rPr>
          <w:rFonts w:ascii="Arial" w:hAnsi="Arial" w:cs="Arial"/>
          <w:sz w:val="20"/>
          <w:szCs w:val="20"/>
        </w:rPr>
        <w:t xml:space="preserve"> </w:t>
      </w:r>
      <w:proofErr w:type="spellStart"/>
      <w:r w:rsidRPr="006A6CF1">
        <w:rPr>
          <w:rFonts w:ascii="Arial" w:hAnsi="Arial" w:cs="Arial"/>
          <w:sz w:val="20"/>
          <w:szCs w:val="20"/>
        </w:rPr>
        <w:t>that</w:t>
      </w:r>
      <w:proofErr w:type="spellEnd"/>
      <w:r w:rsidRPr="006A6CF1">
        <w:rPr>
          <w:rFonts w:ascii="Arial" w:hAnsi="Arial" w:cs="Arial"/>
          <w:sz w:val="20"/>
          <w:szCs w:val="20"/>
        </w:rPr>
        <w:t xml:space="preserve">, </w:t>
      </w:r>
      <w:proofErr w:type="spellStart"/>
      <w:r w:rsidRPr="006A6CF1">
        <w:rPr>
          <w:rFonts w:ascii="Arial" w:hAnsi="Arial" w:cs="Arial"/>
          <w:sz w:val="20"/>
          <w:szCs w:val="20"/>
        </w:rPr>
        <w:t>during</w:t>
      </w:r>
      <w:proofErr w:type="spellEnd"/>
      <w:r w:rsidRPr="006A6CF1">
        <w:rPr>
          <w:rFonts w:ascii="Arial" w:hAnsi="Arial" w:cs="Arial"/>
          <w:sz w:val="20"/>
          <w:szCs w:val="20"/>
        </w:rPr>
        <w:t xml:space="preserve"> the </w:t>
      </w:r>
      <w:proofErr w:type="spellStart"/>
      <w:r w:rsidRPr="006A6CF1">
        <w:rPr>
          <w:rFonts w:ascii="Arial" w:hAnsi="Arial" w:cs="Arial"/>
          <w:sz w:val="20"/>
          <w:szCs w:val="20"/>
        </w:rPr>
        <w:t>Rel</w:t>
      </w:r>
      <w:proofErr w:type="spellEnd"/>
      <w:r w:rsidR="00735B6E" w:rsidRPr="006A6CF1">
        <w:rPr>
          <w:rFonts w:ascii="Arial" w:hAnsi="Arial" w:cs="Arial"/>
          <w:sz w:val="20"/>
          <w:szCs w:val="20"/>
          <w:lang w:val="en-US"/>
        </w:rPr>
        <w:t>-</w:t>
      </w:r>
      <w:r w:rsidRPr="006A6CF1">
        <w:rPr>
          <w:rFonts w:ascii="Arial" w:hAnsi="Arial" w:cs="Arial"/>
          <w:sz w:val="20"/>
          <w:szCs w:val="20"/>
        </w:rPr>
        <w:t xml:space="preserve">16 </w:t>
      </w:r>
      <w:proofErr w:type="spellStart"/>
      <w:r w:rsidRPr="006A6CF1">
        <w:rPr>
          <w:rFonts w:ascii="Arial" w:hAnsi="Arial" w:cs="Arial"/>
          <w:sz w:val="20"/>
          <w:szCs w:val="20"/>
        </w:rPr>
        <w:t>work</w:t>
      </w:r>
      <w:proofErr w:type="spellEnd"/>
      <w:r w:rsidRPr="006A6CF1">
        <w:rPr>
          <w:rFonts w:ascii="Arial" w:hAnsi="Arial" w:cs="Arial"/>
          <w:sz w:val="20"/>
          <w:szCs w:val="20"/>
        </w:rPr>
        <w:t xml:space="preserve">-item on CLI, RAN4 has </w:t>
      </w:r>
      <w:proofErr w:type="spellStart"/>
      <w:r w:rsidRPr="006A6CF1">
        <w:rPr>
          <w:rFonts w:ascii="Arial" w:hAnsi="Arial" w:cs="Arial"/>
          <w:sz w:val="20"/>
          <w:szCs w:val="20"/>
        </w:rPr>
        <w:t>carried</w:t>
      </w:r>
      <w:proofErr w:type="spellEnd"/>
      <w:r w:rsidRPr="006A6CF1">
        <w:rPr>
          <w:rFonts w:ascii="Arial" w:hAnsi="Arial" w:cs="Arial"/>
          <w:sz w:val="20"/>
          <w:szCs w:val="20"/>
        </w:rPr>
        <w:t xml:space="preserve"> </w:t>
      </w:r>
      <w:proofErr w:type="spellStart"/>
      <w:r w:rsidRPr="006A6CF1">
        <w:rPr>
          <w:rFonts w:ascii="Arial" w:hAnsi="Arial" w:cs="Arial"/>
          <w:sz w:val="20"/>
          <w:szCs w:val="20"/>
        </w:rPr>
        <w:t>out</w:t>
      </w:r>
      <w:proofErr w:type="spellEnd"/>
      <w:r w:rsidRPr="006A6CF1">
        <w:rPr>
          <w:rFonts w:ascii="Arial" w:hAnsi="Arial" w:cs="Arial"/>
          <w:sz w:val="20"/>
          <w:szCs w:val="20"/>
        </w:rPr>
        <w:t xml:space="preserve"> simulations and </w:t>
      </w:r>
      <w:proofErr w:type="spellStart"/>
      <w:r w:rsidRPr="006A6CF1">
        <w:rPr>
          <w:rFonts w:ascii="Arial" w:hAnsi="Arial" w:cs="Arial"/>
          <w:sz w:val="20"/>
          <w:szCs w:val="20"/>
        </w:rPr>
        <w:t>found</w:t>
      </w:r>
      <w:proofErr w:type="spellEnd"/>
      <w:r w:rsidRPr="006A6CF1">
        <w:rPr>
          <w:rFonts w:ascii="Arial" w:hAnsi="Arial" w:cs="Arial"/>
          <w:sz w:val="20"/>
          <w:szCs w:val="20"/>
        </w:rPr>
        <w:t xml:space="preserve"> </w:t>
      </w:r>
      <w:proofErr w:type="spellStart"/>
      <w:r w:rsidRPr="006A6CF1">
        <w:rPr>
          <w:rFonts w:ascii="Arial" w:hAnsi="Arial" w:cs="Arial"/>
          <w:sz w:val="20"/>
          <w:szCs w:val="20"/>
        </w:rPr>
        <w:t>that</w:t>
      </w:r>
      <w:proofErr w:type="spellEnd"/>
      <w:r w:rsidR="00C66525" w:rsidRPr="006A6CF1">
        <w:rPr>
          <w:rFonts w:ascii="Arial" w:hAnsi="Arial" w:cs="Arial"/>
          <w:sz w:val="20"/>
          <w:szCs w:val="20"/>
          <w:lang w:val="en-US"/>
        </w:rPr>
        <w:t xml:space="preserve"> for macro scenarios,</w:t>
      </w:r>
      <w:r w:rsidRPr="006A6CF1">
        <w:rPr>
          <w:rFonts w:ascii="Arial" w:hAnsi="Arial" w:cs="Arial"/>
          <w:sz w:val="20"/>
          <w:szCs w:val="20"/>
        </w:rPr>
        <w:t xml:space="preserve"> </w:t>
      </w:r>
      <w:proofErr w:type="spellStart"/>
      <w:r w:rsidRPr="006A6CF1">
        <w:rPr>
          <w:rFonts w:ascii="Arial" w:hAnsi="Arial" w:cs="Arial"/>
          <w:sz w:val="20"/>
          <w:szCs w:val="20"/>
        </w:rPr>
        <w:t>considerable</w:t>
      </w:r>
      <w:proofErr w:type="spellEnd"/>
      <w:r w:rsidRPr="006A6CF1">
        <w:rPr>
          <w:rFonts w:ascii="Arial" w:hAnsi="Arial" w:cs="Arial"/>
          <w:sz w:val="20"/>
          <w:szCs w:val="20"/>
        </w:rPr>
        <w:t xml:space="preserve"> </w:t>
      </w:r>
      <w:proofErr w:type="spellStart"/>
      <w:r w:rsidRPr="006A6CF1">
        <w:rPr>
          <w:rFonts w:ascii="Arial" w:hAnsi="Arial" w:cs="Arial"/>
          <w:sz w:val="20"/>
          <w:szCs w:val="20"/>
        </w:rPr>
        <w:t>performance</w:t>
      </w:r>
      <w:proofErr w:type="spellEnd"/>
      <w:r w:rsidRPr="006A6CF1">
        <w:rPr>
          <w:rFonts w:ascii="Arial" w:hAnsi="Arial" w:cs="Arial"/>
          <w:sz w:val="20"/>
          <w:szCs w:val="20"/>
        </w:rPr>
        <w:t xml:space="preserve"> degradation is </w:t>
      </w:r>
      <w:proofErr w:type="spellStart"/>
      <w:r w:rsidRPr="006A6CF1">
        <w:rPr>
          <w:rFonts w:ascii="Arial" w:hAnsi="Arial" w:cs="Arial"/>
          <w:sz w:val="20"/>
          <w:szCs w:val="20"/>
        </w:rPr>
        <w:t>observed</w:t>
      </w:r>
      <w:proofErr w:type="spellEnd"/>
      <w:r w:rsidRPr="006A6CF1">
        <w:rPr>
          <w:rFonts w:ascii="Arial" w:hAnsi="Arial" w:cs="Arial"/>
          <w:sz w:val="20"/>
          <w:szCs w:val="20"/>
        </w:rPr>
        <w:t xml:space="preserve"> </w:t>
      </w:r>
      <w:proofErr w:type="spellStart"/>
      <w:r w:rsidRPr="006A6CF1">
        <w:rPr>
          <w:rFonts w:ascii="Arial" w:hAnsi="Arial" w:cs="Arial"/>
          <w:sz w:val="20"/>
          <w:szCs w:val="20"/>
        </w:rPr>
        <w:t>due</w:t>
      </w:r>
      <w:proofErr w:type="spellEnd"/>
      <w:r w:rsidRPr="006A6CF1">
        <w:rPr>
          <w:rFonts w:ascii="Arial" w:hAnsi="Arial" w:cs="Arial"/>
          <w:sz w:val="20"/>
          <w:szCs w:val="20"/>
        </w:rPr>
        <w:t xml:space="preserve"> to BS</w:t>
      </w:r>
      <w:r w:rsidR="00C66525" w:rsidRPr="006A6CF1">
        <w:rPr>
          <w:rFonts w:ascii="Arial" w:hAnsi="Arial" w:cs="Arial"/>
          <w:sz w:val="20"/>
          <w:szCs w:val="20"/>
          <w:lang w:val="en-US"/>
        </w:rPr>
        <w:t>-to-</w:t>
      </w:r>
      <w:r w:rsidRPr="006A6CF1">
        <w:rPr>
          <w:rFonts w:ascii="Arial" w:hAnsi="Arial" w:cs="Arial"/>
          <w:sz w:val="20"/>
          <w:szCs w:val="20"/>
        </w:rPr>
        <w:t xml:space="preserve">BS </w:t>
      </w:r>
      <w:proofErr w:type="spellStart"/>
      <w:r w:rsidRPr="006A6CF1">
        <w:rPr>
          <w:rFonts w:ascii="Arial" w:hAnsi="Arial" w:cs="Arial"/>
          <w:sz w:val="20"/>
          <w:szCs w:val="20"/>
        </w:rPr>
        <w:t>interference</w:t>
      </w:r>
      <w:proofErr w:type="spellEnd"/>
      <w:r w:rsidRPr="006A6CF1">
        <w:rPr>
          <w:rFonts w:ascii="Arial" w:hAnsi="Arial" w:cs="Arial"/>
          <w:sz w:val="20"/>
          <w:szCs w:val="20"/>
        </w:rPr>
        <w:t xml:space="preserve">, </w:t>
      </w:r>
      <w:proofErr w:type="spellStart"/>
      <w:r w:rsidRPr="006A6CF1">
        <w:rPr>
          <w:rFonts w:ascii="Arial" w:hAnsi="Arial" w:cs="Arial"/>
          <w:sz w:val="20"/>
          <w:szCs w:val="20"/>
        </w:rPr>
        <w:t>suggesting</w:t>
      </w:r>
      <w:proofErr w:type="spellEnd"/>
      <w:r w:rsidRPr="006A6CF1">
        <w:rPr>
          <w:rFonts w:ascii="Arial" w:hAnsi="Arial" w:cs="Arial"/>
          <w:sz w:val="20"/>
          <w:szCs w:val="20"/>
        </w:rPr>
        <w:t xml:space="preserve"> </w:t>
      </w:r>
      <w:proofErr w:type="spellStart"/>
      <w:r w:rsidRPr="006A6CF1">
        <w:rPr>
          <w:rFonts w:ascii="Arial" w:hAnsi="Arial" w:cs="Arial"/>
          <w:sz w:val="20"/>
          <w:szCs w:val="20"/>
        </w:rPr>
        <w:t>that</w:t>
      </w:r>
      <w:proofErr w:type="spellEnd"/>
      <w:r w:rsidRPr="006A6CF1">
        <w:rPr>
          <w:rFonts w:ascii="Arial" w:hAnsi="Arial" w:cs="Arial"/>
          <w:sz w:val="20"/>
          <w:szCs w:val="20"/>
        </w:rPr>
        <w:t xml:space="preserve"> </w:t>
      </w:r>
      <w:proofErr w:type="spellStart"/>
      <w:r w:rsidRPr="006A6CF1">
        <w:rPr>
          <w:rFonts w:ascii="Arial" w:hAnsi="Arial" w:cs="Arial"/>
          <w:sz w:val="20"/>
          <w:szCs w:val="20"/>
        </w:rPr>
        <w:t>such</w:t>
      </w:r>
      <w:proofErr w:type="spellEnd"/>
      <w:r w:rsidRPr="006A6CF1">
        <w:rPr>
          <w:rFonts w:ascii="Arial" w:hAnsi="Arial" w:cs="Arial"/>
          <w:sz w:val="20"/>
          <w:szCs w:val="20"/>
        </w:rPr>
        <w:t xml:space="preserve"> scenarios </w:t>
      </w:r>
      <w:proofErr w:type="spellStart"/>
      <w:r w:rsidRPr="006A6CF1">
        <w:rPr>
          <w:rFonts w:ascii="Arial" w:hAnsi="Arial" w:cs="Arial"/>
          <w:sz w:val="20"/>
          <w:szCs w:val="20"/>
        </w:rPr>
        <w:t>should</w:t>
      </w:r>
      <w:proofErr w:type="spellEnd"/>
      <w:r w:rsidRPr="006A6CF1">
        <w:rPr>
          <w:rFonts w:ascii="Arial" w:hAnsi="Arial" w:cs="Arial"/>
          <w:sz w:val="20"/>
          <w:szCs w:val="20"/>
        </w:rPr>
        <w:t xml:space="preserve"> be </w:t>
      </w:r>
      <w:proofErr w:type="spellStart"/>
      <w:r w:rsidRPr="006A6CF1">
        <w:rPr>
          <w:rFonts w:ascii="Arial" w:hAnsi="Arial" w:cs="Arial"/>
          <w:sz w:val="20"/>
          <w:szCs w:val="20"/>
        </w:rPr>
        <w:t>avoided</w:t>
      </w:r>
      <w:proofErr w:type="spellEnd"/>
      <w:r w:rsidR="0051401F" w:rsidRPr="006A6CF1">
        <w:rPr>
          <w:rFonts w:ascii="Arial" w:hAnsi="Arial" w:cs="Arial"/>
          <w:sz w:val="20"/>
          <w:szCs w:val="20"/>
        </w:rPr>
        <w:t>,</w:t>
      </w:r>
      <w:r w:rsidRPr="006A6CF1">
        <w:rPr>
          <w:rFonts w:ascii="Arial" w:hAnsi="Arial" w:cs="Arial"/>
          <w:sz w:val="20"/>
          <w:szCs w:val="20"/>
        </w:rPr>
        <w:t xml:space="preserve"> TR 38.828</w:t>
      </w:r>
      <w:r w:rsidR="0051401F" w:rsidRPr="006A6CF1">
        <w:rPr>
          <w:rFonts w:ascii="Arial" w:hAnsi="Arial" w:cs="Arial"/>
          <w:sz w:val="20"/>
          <w:szCs w:val="20"/>
        </w:rPr>
        <w:t xml:space="preserve"> </w:t>
      </w:r>
      <w:r w:rsidR="0051401F" w:rsidRPr="006A6CF1">
        <w:rPr>
          <w:rFonts w:ascii="Arial" w:hAnsi="Arial" w:cs="Arial"/>
          <w:sz w:val="20"/>
          <w:szCs w:val="20"/>
        </w:rPr>
        <w:fldChar w:fldCharType="begin"/>
      </w:r>
      <w:r w:rsidR="0051401F" w:rsidRPr="006A6CF1">
        <w:rPr>
          <w:rFonts w:ascii="Arial" w:hAnsi="Arial" w:cs="Arial"/>
          <w:sz w:val="20"/>
          <w:szCs w:val="20"/>
        </w:rPr>
        <w:instrText xml:space="preserve"> REF _Ref71550407 \w \h </w:instrText>
      </w:r>
      <w:r w:rsidR="0051401F" w:rsidRPr="006A6CF1">
        <w:rPr>
          <w:rFonts w:ascii="Arial" w:hAnsi="Arial" w:cs="Arial"/>
          <w:sz w:val="20"/>
          <w:szCs w:val="20"/>
        </w:rPr>
      </w:r>
      <w:r w:rsidR="006A6CF1" w:rsidRPr="006A6CF1">
        <w:rPr>
          <w:rFonts w:ascii="Arial" w:hAnsi="Arial" w:cs="Arial"/>
          <w:sz w:val="20"/>
          <w:szCs w:val="20"/>
        </w:rPr>
        <w:instrText xml:space="preserve"> \* MERGEFORMAT </w:instrText>
      </w:r>
      <w:r w:rsidR="0051401F" w:rsidRPr="006A6CF1">
        <w:rPr>
          <w:rFonts w:ascii="Arial" w:hAnsi="Arial" w:cs="Arial"/>
          <w:sz w:val="20"/>
          <w:szCs w:val="20"/>
        </w:rPr>
        <w:fldChar w:fldCharType="separate"/>
      </w:r>
      <w:r w:rsidR="000E3397">
        <w:rPr>
          <w:rFonts w:ascii="Arial" w:hAnsi="Arial" w:cs="Arial"/>
          <w:sz w:val="20"/>
          <w:szCs w:val="20"/>
        </w:rPr>
        <w:t>[8]</w:t>
      </w:r>
      <w:r w:rsidR="0051401F" w:rsidRPr="006A6CF1">
        <w:rPr>
          <w:rFonts w:ascii="Arial" w:hAnsi="Arial" w:cs="Arial"/>
          <w:sz w:val="20"/>
          <w:szCs w:val="20"/>
        </w:rPr>
        <w:fldChar w:fldCharType="end"/>
      </w:r>
      <w:r w:rsidRPr="006A6CF1">
        <w:rPr>
          <w:rFonts w:ascii="Arial" w:hAnsi="Arial" w:cs="Arial"/>
          <w:sz w:val="20"/>
          <w:szCs w:val="20"/>
        </w:rPr>
        <w:t xml:space="preserve">. In this way, this is a low priority discussion, and it is preferred to concentrate on more important </w:t>
      </w:r>
      <w:proofErr w:type="spellStart"/>
      <w:r w:rsidRPr="006A6CF1">
        <w:rPr>
          <w:rFonts w:ascii="Arial" w:hAnsi="Arial" w:cs="Arial"/>
          <w:sz w:val="20"/>
          <w:szCs w:val="20"/>
        </w:rPr>
        <w:t>aspects</w:t>
      </w:r>
      <w:proofErr w:type="spellEnd"/>
      <w:r w:rsidRPr="006A6CF1">
        <w:rPr>
          <w:rFonts w:ascii="Arial" w:hAnsi="Arial" w:cs="Arial"/>
          <w:sz w:val="20"/>
          <w:szCs w:val="20"/>
        </w:rPr>
        <w:t xml:space="preserve"> </w:t>
      </w:r>
      <w:proofErr w:type="spellStart"/>
      <w:r w:rsidRPr="006A6CF1">
        <w:rPr>
          <w:rFonts w:ascii="Arial" w:hAnsi="Arial" w:cs="Arial"/>
          <w:sz w:val="20"/>
          <w:szCs w:val="20"/>
        </w:rPr>
        <w:t>of</w:t>
      </w:r>
      <w:proofErr w:type="spellEnd"/>
      <w:r w:rsidRPr="006A6CF1">
        <w:rPr>
          <w:rFonts w:ascii="Arial" w:hAnsi="Arial" w:cs="Arial"/>
          <w:sz w:val="20"/>
          <w:szCs w:val="20"/>
        </w:rPr>
        <w:t xml:space="preserve"> the WID.</w:t>
      </w:r>
    </w:p>
    <w:p w14:paraId="3326A268" w14:textId="692A0A8E" w:rsidR="000F5FDD" w:rsidRPr="006A6CF1" w:rsidRDefault="000F5FDD" w:rsidP="000F5FDD">
      <w:pPr>
        <w:pStyle w:val="ListParagraph"/>
        <w:numPr>
          <w:ilvl w:val="0"/>
          <w:numId w:val="24"/>
        </w:numPr>
        <w:spacing w:after="160"/>
        <w:jc w:val="both"/>
        <w:rPr>
          <w:rFonts w:ascii="Arial" w:hAnsi="Arial" w:cs="Arial"/>
          <w:sz w:val="20"/>
          <w:szCs w:val="20"/>
          <w:lang w:val="en-GB" w:eastAsia="ja-JP"/>
        </w:rPr>
      </w:pPr>
      <w:r w:rsidRPr="006A6CF1">
        <w:rPr>
          <w:rFonts w:ascii="Arial" w:hAnsi="Arial" w:cs="Arial"/>
          <w:sz w:val="20"/>
          <w:szCs w:val="20"/>
          <w:lang w:val="en-GB" w:eastAsia="ja-JP"/>
        </w:rPr>
        <w:t xml:space="preserve">MT-to-MT: </w:t>
      </w:r>
      <w:r w:rsidRPr="006A6CF1">
        <w:rPr>
          <w:rFonts w:ascii="Arial" w:hAnsi="Arial" w:cs="Arial"/>
          <w:sz w:val="20"/>
          <w:szCs w:val="20"/>
          <w:lang w:val="en-GB"/>
        </w:rPr>
        <w:t xml:space="preserve">Even for a local-area IAB, </w:t>
      </w:r>
      <w:r w:rsidR="00371B4C" w:rsidRPr="006A6CF1">
        <w:rPr>
          <w:rFonts w:ascii="Arial" w:hAnsi="Arial" w:cs="Arial"/>
          <w:sz w:val="20"/>
          <w:szCs w:val="20"/>
          <w:lang w:val="en-GB"/>
        </w:rPr>
        <w:t xml:space="preserve">the </w:t>
      </w:r>
      <w:r w:rsidRPr="006A6CF1">
        <w:rPr>
          <w:rFonts w:ascii="Arial" w:hAnsi="Arial" w:cs="Arial"/>
          <w:sz w:val="20"/>
          <w:szCs w:val="20"/>
          <w:lang w:val="en-GB"/>
        </w:rPr>
        <w:t>UE-to-UE interference management mechanism introduced in Rel</w:t>
      </w:r>
      <w:r w:rsidR="00371B4C" w:rsidRPr="006A6CF1">
        <w:rPr>
          <w:rFonts w:ascii="Arial" w:hAnsi="Arial" w:cs="Arial"/>
          <w:sz w:val="20"/>
          <w:szCs w:val="20"/>
          <w:lang w:val="en-GB"/>
        </w:rPr>
        <w:t>-</w:t>
      </w:r>
      <w:r w:rsidRPr="006A6CF1">
        <w:rPr>
          <w:rFonts w:ascii="Arial" w:hAnsi="Arial" w:cs="Arial"/>
          <w:sz w:val="20"/>
          <w:szCs w:val="20"/>
          <w:lang w:val="en-GB"/>
        </w:rPr>
        <w:t xml:space="preserve">16 can be reused for MT-to-MT CLI. Moreover, given that the MT transmission is always </w:t>
      </w:r>
      <w:r w:rsidR="00371B4C" w:rsidRPr="006A6CF1">
        <w:rPr>
          <w:rFonts w:ascii="Arial" w:hAnsi="Arial" w:cs="Arial"/>
          <w:sz w:val="20"/>
          <w:szCs w:val="20"/>
          <w:lang w:val="en-GB"/>
        </w:rPr>
        <w:t>i</w:t>
      </w:r>
      <w:r w:rsidRPr="006A6CF1">
        <w:rPr>
          <w:rFonts w:ascii="Arial" w:hAnsi="Arial" w:cs="Arial"/>
          <w:sz w:val="20"/>
          <w:szCs w:val="20"/>
          <w:lang w:val="en-GB"/>
        </w:rPr>
        <w:t>n the same direction</w:t>
      </w:r>
      <w:r w:rsidR="00371B4C" w:rsidRPr="006A6CF1">
        <w:rPr>
          <w:rFonts w:ascii="Arial" w:hAnsi="Arial" w:cs="Arial"/>
          <w:sz w:val="20"/>
          <w:szCs w:val="20"/>
          <w:lang w:val="en-GB"/>
        </w:rPr>
        <w:t>,</w:t>
      </w:r>
      <w:r w:rsidRPr="006A6CF1">
        <w:rPr>
          <w:rFonts w:ascii="Arial" w:hAnsi="Arial" w:cs="Arial"/>
          <w:sz w:val="20"/>
          <w:szCs w:val="20"/>
          <w:lang w:val="en-GB"/>
        </w:rPr>
        <w:t xml:space="preserve"> interference can be well avoided by network planning</w:t>
      </w:r>
      <w:r w:rsidR="00371B4C" w:rsidRPr="006A6CF1">
        <w:rPr>
          <w:rFonts w:ascii="Arial" w:hAnsi="Arial" w:cs="Arial"/>
          <w:sz w:val="20"/>
          <w:szCs w:val="20"/>
          <w:lang w:val="en-GB"/>
        </w:rPr>
        <w:t>. Hence</w:t>
      </w:r>
      <w:r w:rsidRPr="006A6CF1">
        <w:rPr>
          <w:rFonts w:ascii="Arial" w:hAnsi="Arial" w:cs="Arial"/>
          <w:sz w:val="20"/>
          <w:szCs w:val="20"/>
          <w:lang w:val="en-GB"/>
        </w:rPr>
        <w:t>, MT-to-MT interference discussion should have low priority.</w:t>
      </w:r>
    </w:p>
    <w:p w14:paraId="6DF44897" w14:textId="1A42F923" w:rsidR="000F5FDD" w:rsidRPr="006A6CF1" w:rsidRDefault="000F5FDD" w:rsidP="000F5FDD">
      <w:pPr>
        <w:pStyle w:val="ListParagraph"/>
        <w:numPr>
          <w:ilvl w:val="0"/>
          <w:numId w:val="24"/>
        </w:numPr>
        <w:spacing w:after="160"/>
        <w:jc w:val="both"/>
        <w:rPr>
          <w:rFonts w:ascii="Arial" w:hAnsi="Arial" w:cs="Arial"/>
          <w:sz w:val="20"/>
          <w:szCs w:val="20"/>
          <w:lang w:val="en-GB" w:eastAsia="ja-JP"/>
        </w:rPr>
      </w:pPr>
      <w:r w:rsidRPr="006A6CF1">
        <w:rPr>
          <w:rFonts w:ascii="Arial" w:hAnsi="Arial" w:cs="Arial"/>
          <w:sz w:val="20"/>
          <w:szCs w:val="20"/>
          <w:lang w:val="en-GB" w:eastAsia="ja-JP"/>
        </w:rPr>
        <w:t>DU-</w:t>
      </w:r>
      <w:r w:rsidRPr="006A6CF1">
        <w:rPr>
          <w:rFonts w:ascii="Arial" w:hAnsi="Arial" w:cs="Arial"/>
          <w:sz w:val="20"/>
          <w:szCs w:val="20"/>
          <w:lang w:val="en-GB"/>
        </w:rPr>
        <w:t>to-MT and MT-to-DU:  For DU-to-MT, interference can be measured by downlink reference</w:t>
      </w:r>
      <w:r w:rsidR="00371B4C" w:rsidRPr="006A6CF1">
        <w:rPr>
          <w:rFonts w:ascii="Arial" w:hAnsi="Arial" w:cs="Arial"/>
          <w:sz w:val="20"/>
          <w:szCs w:val="20"/>
          <w:lang w:val="en-GB"/>
        </w:rPr>
        <w:t xml:space="preserve"> signals</w:t>
      </w:r>
      <w:r w:rsidRPr="006A6CF1">
        <w:rPr>
          <w:rFonts w:ascii="Arial" w:hAnsi="Arial" w:cs="Arial"/>
          <w:sz w:val="20"/>
          <w:szCs w:val="20"/>
          <w:lang w:val="en-GB"/>
        </w:rPr>
        <w:t>, e.g., SSBs, where, for instance, the IAB node can use the SSBs from the parent and neighbour nodes to determine a preferred beam (</w:t>
      </w:r>
      <w:proofErr w:type="spellStart"/>
      <w:r w:rsidRPr="006A6CF1">
        <w:rPr>
          <w:rFonts w:ascii="Arial" w:hAnsi="Arial" w:cs="Arial"/>
          <w:sz w:val="20"/>
          <w:szCs w:val="20"/>
          <w:lang w:val="en-GB"/>
        </w:rPr>
        <w:t>w.r.t.</w:t>
      </w:r>
      <w:proofErr w:type="spellEnd"/>
      <w:r w:rsidRPr="006A6CF1">
        <w:rPr>
          <w:rFonts w:ascii="Arial" w:hAnsi="Arial" w:cs="Arial"/>
          <w:sz w:val="20"/>
          <w:szCs w:val="20"/>
          <w:lang w:val="en-GB"/>
        </w:rPr>
        <w:t xml:space="preserve"> SINR) towards the parent node. Then, assuming reciprocity, MT-to-DU interference can be managed jointly with DU-to-MT interference where</w:t>
      </w:r>
      <w:r w:rsidR="00F207C8" w:rsidRPr="006A6CF1">
        <w:rPr>
          <w:rFonts w:ascii="Arial" w:hAnsi="Arial" w:cs="Arial"/>
          <w:sz w:val="20"/>
          <w:szCs w:val="20"/>
          <w:lang w:val="en-GB"/>
        </w:rPr>
        <w:t>,</w:t>
      </w:r>
      <w:r w:rsidRPr="006A6CF1">
        <w:rPr>
          <w:rFonts w:ascii="Arial" w:hAnsi="Arial" w:cs="Arial"/>
          <w:sz w:val="20"/>
          <w:szCs w:val="20"/>
          <w:lang w:val="en-GB"/>
        </w:rPr>
        <w:t xml:space="preserve"> with an MT selecting the beam that minimizes SINR from surrounding DUs, it minimizes its own interference on surrounding DUs. This is especially</w:t>
      </w:r>
      <w:r w:rsidR="00327ECE" w:rsidRPr="006A6CF1">
        <w:rPr>
          <w:rFonts w:ascii="Arial" w:hAnsi="Arial" w:cs="Arial"/>
          <w:sz w:val="20"/>
          <w:szCs w:val="20"/>
          <w:lang w:val="en-GB"/>
        </w:rPr>
        <w:t xml:space="preserve"> relevant</w:t>
      </w:r>
      <w:r w:rsidRPr="006A6CF1">
        <w:rPr>
          <w:rFonts w:ascii="Arial" w:hAnsi="Arial" w:cs="Arial"/>
          <w:sz w:val="20"/>
          <w:szCs w:val="20"/>
          <w:lang w:val="en-GB"/>
        </w:rPr>
        <w:t xml:space="preserve"> because, compared to the cases with UEs, the interference is of a less problem with MTs, </w:t>
      </w:r>
      <w:r w:rsidR="00327ECE" w:rsidRPr="006A6CF1">
        <w:rPr>
          <w:rFonts w:ascii="Arial" w:hAnsi="Arial" w:cs="Arial"/>
          <w:sz w:val="20"/>
          <w:szCs w:val="20"/>
          <w:lang w:val="en-GB"/>
        </w:rPr>
        <w:t>since</w:t>
      </w:r>
      <w:r w:rsidRPr="006A6CF1">
        <w:rPr>
          <w:rFonts w:ascii="Arial" w:hAnsi="Arial" w:cs="Arial"/>
          <w:sz w:val="20"/>
          <w:szCs w:val="20"/>
          <w:lang w:val="en-GB"/>
        </w:rPr>
        <w:t xml:space="preserve"> the MT follows a </w:t>
      </w:r>
      <w:r w:rsidR="0028394A" w:rsidRPr="006A6CF1">
        <w:rPr>
          <w:rFonts w:ascii="Arial" w:hAnsi="Arial" w:cs="Arial"/>
          <w:sz w:val="20"/>
          <w:szCs w:val="20"/>
          <w:lang w:val="en-GB"/>
        </w:rPr>
        <w:t xml:space="preserve">static, </w:t>
      </w:r>
      <w:r w:rsidRPr="006A6CF1">
        <w:rPr>
          <w:rFonts w:ascii="Arial" w:hAnsi="Arial" w:cs="Arial"/>
          <w:sz w:val="20"/>
          <w:szCs w:val="20"/>
          <w:lang w:val="en-GB"/>
        </w:rPr>
        <w:t>one-directional transmission</w:t>
      </w:r>
      <w:r w:rsidR="0051401F" w:rsidRPr="006A6CF1">
        <w:rPr>
          <w:rFonts w:ascii="Arial" w:hAnsi="Arial" w:cs="Arial"/>
          <w:sz w:val="20"/>
          <w:szCs w:val="20"/>
          <w:lang w:val="en-GB"/>
        </w:rPr>
        <w:t>,</w:t>
      </w:r>
      <w:r w:rsidRPr="006A6CF1">
        <w:rPr>
          <w:rFonts w:ascii="Arial" w:hAnsi="Arial" w:cs="Arial"/>
          <w:sz w:val="20"/>
          <w:szCs w:val="20"/>
          <w:lang w:val="en-GB"/>
        </w:rPr>
        <w:t xml:space="preserve"> and the interference can be well handled by network planning.</w:t>
      </w:r>
    </w:p>
    <w:p w14:paraId="06808D77" w14:textId="1342DFC8" w:rsidR="000F5FDD" w:rsidRPr="000F5FDD" w:rsidRDefault="000F5FDD" w:rsidP="000F5FDD">
      <w:pPr>
        <w:jc w:val="both"/>
        <w:rPr>
          <w:lang w:val="en-GB" w:eastAsia="ja-JP"/>
        </w:rPr>
      </w:pPr>
      <w:r w:rsidRPr="000F5FDD">
        <w:rPr>
          <w:lang w:val="en-GB" w:eastAsia="ja-JP"/>
        </w:rPr>
        <w:t>To summarize, even if required, the existing interference measurement mechanisms can handle different interference scenarios and no IAB-specific specification is required. As a result, any specification should be optional.</w:t>
      </w:r>
    </w:p>
    <w:p w14:paraId="0CBFB8F1" w14:textId="20F623AE" w:rsidR="000F5FDD" w:rsidRPr="000F5FDD" w:rsidRDefault="000F5FDD" w:rsidP="00074C07">
      <w:pPr>
        <w:pStyle w:val="Proposal"/>
      </w:pPr>
      <w:bookmarkStart w:id="44" w:name="_Toc71663454"/>
      <w:r w:rsidRPr="000F5FDD">
        <w:t>DU-to-DU interference measurement and reporting can be handled by implementation, and no specification is required.</w:t>
      </w:r>
      <w:bookmarkEnd w:id="44"/>
    </w:p>
    <w:p w14:paraId="223BB437" w14:textId="6DA707FB" w:rsidR="000F5FDD" w:rsidRPr="000F5FDD" w:rsidRDefault="000F5FDD" w:rsidP="00074C07">
      <w:pPr>
        <w:pStyle w:val="Proposal"/>
      </w:pPr>
      <w:bookmarkStart w:id="45" w:name="_Toc71663455"/>
      <w:r w:rsidRPr="000F5FDD">
        <w:t>Since some configurations do not require specification of additional interference schemes, any specification of additional interference measurement to be optional.</w:t>
      </w:r>
      <w:bookmarkEnd w:id="45"/>
    </w:p>
    <w:p w14:paraId="74ADC0F7" w14:textId="15B92165" w:rsidR="00850C37" w:rsidRPr="00281173" w:rsidRDefault="000F5FDD" w:rsidP="00850C37">
      <w:pPr>
        <w:pStyle w:val="Heading1"/>
      </w:pPr>
      <w:r>
        <w:t xml:space="preserve">Power </w:t>
      </w:r>
      <w:r w:rsidR="00850C37" w:rsidRPr="00850C37">
        <w:t>control</w:t>
      </w:r>
      <w:r w:rsidR="00365842">
        <w:t xml:space="preserve"> in simultaneous operation</w:t>
      </w:r>
    </w:p>
    <w:p w14:paraId="39726D87" w14:textId="38092876" w:rsidR="00F27126" w:rsidRDefault="000614C2" w:rsidP="00784491">
      <w:pPr>
        <w:spacing w:before="240"/>
        <w:jc w:val="both"/>
        <w:rPr>
          <w:lang w:val="en-GB" w:eastAsia="ja-JP"/>
        </w:rPr>
      </w:pPr>
      <w:r>
        <w:rPr>
          <w:lang w:val="en-GB" w:eastAsia="ja-JP"/>
        </w:rPr>
        <w:t>The need for IAB</w:t>
      </w:r>
      <w:r w:rsidR="00416367">
        <w:rPr>
          <w:lang w:val="en-GB" w:eastAsia="ja-JP"/>
        </w:rPr>
        <w:t>-MT</w:t>
      </w:r>
      <w:r>
        <w:rPr>
          <w:lang w:val="en-GB" w:eastAsia="ja-JP"/>
        </w:rPr>
        <w:t xml:space="preserve"> power control </w:t>
      </w:r>
      <w:r w:rsidR="00371664">
        <w:rPr>
          <w:lang w:val="en-GB" w:eastAsia="ja-JP"/>
        </w:rPr>
        <w:t xml:space="preserve">in simultaneous operation </w:t>
      </w:r>
      <w:r>
        <w:rPr>
          <w:lang w:val="en-GB" w:eastAsia="ja-JP"/>
        </w:rPr>
        <w:t xml:space="preserve">is to some part different from the needs of UE power control. </w:t>
      </w:r>
      <w:r w:rsidR="005B72D9">
        <w:rPr>
          <w:lang w:val="en-GB" w:eastAsia="ja-JP"/>
        </w:rPr>
        <w:t>Typically,</w:t>
      </w:r>
      <w:r>
        <w:rPr>
          <w:lang w:val="en-GB" w:eastAsia="ja-JP"/>
        </w:rPr>
        <w:t xml:space="preserve"> UEs attempt to increase transmit power and thereby throughput performance</w:t>
      </w:r>
      <w:r w:rsidR="005B72D9">
        <w:rPr>
          <w:lang w:val="en-GB" w:eastAsia="ja-JP"/>
        </w:rPr>
        <w:t xml:space="preserve">. A reduced power is used to manage multiple UEs with different </w:t>
      </w:r>
      <w:r w:rsidR="00AA72B8">
        <w:rPr>
          <w:lang w:val="en-GB" w:eastAsia="ja-JP"/>
        </w:rPr>
        <w:t>channel conditions towards the DU</w:t>
      </w:r>
      <w:r w:rsidR="005B72D9">
        <w:rPr>
          <w:lang w:val="en-GB" w:eastAsia="ja-JP"/>
        </w:rPr>
        <w:t xml:space="preserve"> </w:t>
      </w:r>
      <w:r w:rsidR="003E1F70">
        <w:rPr>
          <w:lang w:val="en-GB" w:eastAsia="ja-JP"/>
        </w:rPr>
        <w:t xml:space="preserve">such that the received power of all UEs fall </w:t>
      </w:r>
      <w:r w:rsidR="005B72D9">
        <w:rPr>
          <w:lang w:val="en-GB" w:eastAsia="ja-JP"/>
        </w:rPr>
        <w:t xml:space="preserve">within the </w:t>
      </w:r>
      <w:r w:rsidR="006749FC" w:rsidRPr="006749FC">
        <w:rPr>
          <w:lang w:val="en-GB" w:eastAsia="ja-JP"/>
        </w:rPr>
        <w:t>IAB-</w:t>
      </w:r>
      <w:r w:rsidR="005B72D9">
        <w:rPr>
          <w:lang w:val="en-GB" w:eastAsia="ja-JP"/>
        </w:rPr>
        <w:t xml:space="preserve">DU’s </w:t>
      </w:r>
      <w:r w:rsidR="00416367">
        <w:rPr>
          <w:lang w:val="en-GB" w:eastAsia="ja-JP"/>
        </w:rPr>
        <w:t xml:space="preserve">Rx </w:t>
      </w:r>
      <w:r w:rsidR="005B72D9">
        <w:rPr>
          <w:lang w:val="en-GB" w:eastAsia="ja-JP"/>
        </w:rPr>
        <w:t>dynamic range</w:t>
      </w:r>
      <w:r w:rsidR="00AA72B8">
        <w:rPr>
          <w:lang w:val="en-GB" w:eastAsia="ja-JP"/>
        </w:rPr>
        <w:t>.</w:t>
      </w:r>
      <w:r w:rsidR="00916AC5">
        <w:rPr>
          <w:lang w:val="en-GB" w:eastAsia="ja-JP"/>
        </w:rPr>
        <w:t xml:space="preserve"> Related to this, IAB nodes will be faced with a</w:t>
      </w:r>
      <w:r w:rsidR="00784491">
        <w:rPr>
          <w:lang w:val="en-GB" w:eastAsia="ja-JP"/>
        </w:rPr>
        <w:t xml:space="preserve"> different challenge – to reduce the MT transmit power</w:t>
      </w:r>
      <w:r w:rsidR="00784491" w:rsidRPr="00D73593">
        <w:rPr>
          <w:lang w:val="en-GB" w:eastAsia="ja-JP"/>
        </w:rPr>
        <w:t xml:space="preserve"> in order</w:t>
      </w:r>
      <w:r w:rsidR="00784491">
        <w:rPr>
          <w:lang w:val="en-GB" w:eastAsia="ja-JP"/>
        </w:rPr>
        <w:t xml:space="preserve"> for the parent </w:t>
      </w:r>
      <w:r w:rsidR="006C783E" w:rsidRPr="006749FC">
        <w:rPr>
          <w:lang w:val="en-GB" w:eastAsia="ja-JP"/>
        </w:rPr>
        <w:t>IAB-</w:t>
      </w:r>
      <w:r w:rsidR="00784491">
        <w:rPr>
          <w:lang w:val="en-GB" w:eastAsia="ja-JP"/>
        </w:rPr>
        <w:t xml:space="preserve">DU </w:t>
      </w:r>
      <w:r w:rsidR="00784491" w:rsidRPr="00D73593">
        <w:rPr>
          <w:lang w:val="en-GB" w:eastAsia="ja-JP"/>
        </w:rPr>
        <w:t>t</w:t>
      </w:r>
      <w:r w:rsidR="00C44907">
        <w:rPr>
          <w:lang w:val="en-GB" w:eastAsia="ja-JP"/>
        </w:rPr>
        <w:t xml:space="preserve">o be </w:t>
      </w:r>
      <w:r w:rsidR="00784491">
        <w:rPr>
          <w:lang w:val="en-GB" w:eastAsia="ja-JP"/>
        </w:rPr>
        <w:t xml:space="preserve">able to </w:t>
      </w:r>
      <w:r w:rsidR="00C44907">
        <w:rPr>
          <w:lang w:val="en-GB" w:eastAsia="ja-JP"/>
        </w:rPr>
        <w:t>receive</w:t>
      </w:r>
      <w:r w:rsidR="00784491">
        <w:rPr>
          <w:lang w:val="en-GB" w:eastAsia="ja-JP"/>
        </w:rPr>
        <w:t xml:space="preserve"> the </w:t>
      </w:r>
      <w:r w:rsidR="006C783E" w:rsidRPr="006749FC">
        <w:rPr>
          <w:lang w:val="en-GB" w:eastAsia="ja-JP"/>
        </w:rPr>
        <w:t>IAB-</w:t>
      </w:r>
      <w:r w:rsidR="00784491">
        <w:rPr>
          <w:lang w:val="en-GB" w:eastAsia="ja-JP"/>
        </w:rPr>
        <w:t>MT signal</w:t>
      </w:r>
      <w:r w:rsidR="00C44907">
        <w:rPr>
          <w:lang w:val="en-GB" w:eastAsia="ja-JP"/>
        </w:rPr>
        <w:t xml:space="preserve"> simultaneously </w:t>
      </w:r>
      <w:r w:rsidR="00BB0F0B">
        <w:rPr>
          <w:lang w:val="en-GB" w:eastAsia="ja-JP"/>
        </w:rPr>
        <w:t>to</w:t>
      </w:r>
      <w:r w:rsidR="00AA72B8">
        <w:rPr>
          <w:lang w:val="en-GB" w:eastAsia="ja-JP"/>
        </w:rPr>
        <w:t xml:space="preserve"> </w:t>
      </w:r>
      <w:r w:rsidR="0043453D">
        <w:rPr>
          <w:lang w:val="en-GB" w:eastAsia="ja-JP"/>
        </w:rPr>
        <w:t xml:space="preserve">signals from </w:t>
      </w:r>
      <w:r w:rsidR="00AA72B8">
        <w:rPr>
          <w:lang w:val="en-GB" w:eastAsia="ja-JP"/>
        </w:rPr>
        <w:t>other</w:t>
      </w:r>
      <w:r w:rsidR="00C44907">
        <w:rPr>
          <w:lang w:val="en-GB" w:eastAsia="ja-JP"/>
        </w:rPr>
        <w:t>,</w:t>
      </w:r>
      <w:r w:rsidR="00AA72B8">
        <w:rPr>
          <w:lang w:val="en-GB" w:eastAsia="ja-JP"/>
        </w:rPr>
        <w:t xml:space="preserve"> </w:t>
      </w:r>
      <w:r w:rsidR="00F27126">
        <w:rPr>
          <w:lang w:val="en-GB" w:eastAsia="ja-JP"/>
        </w:rPr>
        <w:t xml:space="preserve">weaker </w:t>
      </w:r>
      <w:r w:rsidR="006C783E">
        <w:rPr>
          <w:lang w:val="en-GB" w:eastAsia="ja-JP"/>
        </w:rPr>
        <w:t>transmitters</w:t>
      </w:r>
      <w:r w:rsidR="00AA72B8">
        <w:rPr>
          <w:lang w:val="en-GB" w:eastAsia="ja-JP"/>
        </w:rPr>
        <w:t>.</w:t>
      </w:r>
      <w:r w:rsidR="0043453D">
        <w:rPr>
          <w:lang w:val="en-GB" w:eastAsia="ja-JP"/>
        </w:rPr>
        <w:t xml:space="preserve"> </w:t>
      </w:r>
      <w:r w:rsidR="0028394A">
        <w:rPr>
          <w:lang w:val="en-GB" w:eastAsia="ja-JP"/>
        </w:rPr>
        <w:t xml:space="preserve">Furthermore, </w:t>
      </w:r>
      <w:r w:rsidR="0028394A">
        <w:t>contrary</w:t>
      </w:r>
      <w:r w:rsidR="0028394A">
        <w:t xml:space="preserve"> to UEs, the IAB-MT Tx power and </w:t>
      </w:r>
      <w:r w:rsidR="0028394A">
        <w:t xml:space="preserve">dynamic </w:t>
      </w:r>
      <w:r w:rsidR="0028394A">
        <w:t>range might be constrain</w:t>
      </w:r>
      <w:r w:rsidR="00BB0F0B">
        <w:t>ed</w:t>
      </w:r>
      <w:r w:rsidR="0028394A">
        <w:t xml:space="preserve"> by the Tx power of the co-located IAB-DU.</w:t>
      </w:r>
      <w:r w:rsidR="0028394A">
        <w:t xml:space="preserve"> </w:t>
      </w:r>
      <w:r w:rsidR="0043453D">
        <w:rPr>
          <w:lang w:val="en-GB" w:eastAsia="ja-JP"/>
        </w:rPr>
        <w:t>Hence, information about the minimum transmit power</w:t>
      </w:r>
      <w:r w:rsidR="001F4B49">
        <w:rPr>
          <w:lang w:val="en-GB" w:eastAsia="ja-JP"/>
        </w:rPr>
        <w:t>, or the dynamic range of the IAB-node</w:t>
      </w:r>
      <w:r w:rsidR="0043453D">
        <w:rPr>
          <w:lang w:val="en-GB" w:eastAsia="ja-JP"/>
        </w:rPr>
        <w:t xml:space="preserve"> may be needed, for which presently there is no support in the NR specification</w:t>
      </w:r>
      <w:r w:rsidR="00B53CCA">
        <w:rPr>
          <w:lang w:val="en-GB" w:eastAsia="ja-JP"/>
        </w:rPr>
        <w:t>.</w:t>
      </w:r>
    </w:p>
    <w:p w14:paraId="5E531A81" w14:textId="59025B74" w:rsidR="001524A9" w:rsidRDefault="00F27126" w:rsidP="00074C07">
      <w:pPr>
        <w:pStyle w:val="Observation"/>
      </w:pPr>
      <w:bookmarkStart w:id="46" w:name="_Toc71663441"/>
      <w:r>
        <w:t>A parent IAB node may be faced with a too high dynamic range if</w:t>
      </w:r>
      <w:r w:rsidR="00916AC5">
        <w:t xml:space="preserve"> the signal of</w:t>
      </w:r>
      <w:r>
        <w:t xml:space="preserve"> a strong (wide area) IAB-MT is received simultaneously as </w:t>
      </w:r>
      <w:r w:rsidR="00916AC5">
        <w:t xml:space="preserve">the one of </w:t>
      </w:r>
      <w:r>
        <w:t xml:space="preserve">a weaker (local </w:t>
      </w:r>
      <w:r>
        <w:lastRenderedPageBreak/>
        <w:t>area) IAB-MT or a UE</w:t>
      </w:r>
      <w:r w:rsidR="002420AE">
        <w:t xml:space="preserve">. </w:t>
      </w:r>
      <w:r w:rsidR="000A2D76">
        <w:t>P</w:t>
      </w:r>
      <w:r w:rsidR="002420AE">
        <w:t xml:space="preserve">roviding </w:t>
      </w:r>
      <w:r w:rsidR="00C807ED">
        <w:t xml:space="preserve">information </w:t>
      </w:r>
      <w:r w:rsidR="002420AE">
        <w:t>to the parent IAB-DU about</w:t>
      </w:r>
      <w:r w:rsidR="00C807ED">
        <w:t xml:space="preserve"> the </w:t>
      </w:r>
      <w:r w:rsidR="00536BC4">
        <w:t xml:space="preserve">transmit power </w:t>
      </w:r>
      <w:r w:rsidR="000A2D76">
        <w:t xml:space="preserve">dynamic range of the IAB-MT </w:t>
      </w:r>
      <w:r w:rsidR="00C807ED">
        <w:t>could be beneficial.</w:t>
      </w:r>
      <w:bookmarkEnd w:id="46"/>
    </w:p>
    <w:p w14:paraId="55A2F85D" w14:textId="39C11ADE" w:rsidR="00293B6C" w:rsidRPr="00D73593" w:rsidRDefault="00200DF4" w:rsidP="00C353F7">
      <w:pPr>
        <w:jc w:val="both"/>
        <w:rPr>
          <w:b/>
          <w:lang w:val="en-GB"/>
        </w:rPr>
      </w:pPr>
      <w:r w:rsidRPr="00C353F7">
        <w:t>In addition to knowing the minimum transmit power level</w:t>
      </w:r>
      <w:r w:rsidR="00EC2B20">
        <w:rPr>
          <w:lang w:val="en-GB"/>
        </w:rPr>
        <w:t>,</w:t>
      </w:r>
      <w:r>
        <w:rPr>
          <w:lang w:val="en-GB"/>
        </w:rPr>
        <w:t xml:space="preserve"> simultaneous operation</w:t>
      </w:r>
      <w:r w:rsidR="00EC2B20">
        <w:rPr>
          <w:lang w:val="en-GB"/>
        </w:rPr>
        <w:t xml:space="preserve"> may require additional information</w:t>
      </w:r>
      <w:r>
        <w:rPr>
          <w:lang w:val="en-GB"/>
        </w:rPr>
        <w:t xml:space="preserve">. </w:t>
      </w:r>
      <w:r w:rsidR="00416367" w:rsidRPr="00293B6C">
        <w:rPr>
          <w:lang w:val="en-GB"/>
        </w:rPr>
        <w:t>Adjacent channel leakage</w:t>
      </w:r>
      <w:r w:rsidR="00416367">
        <w:rPr>
          <w:lang w:val="en-GB"/>
        </w:rPr>
        <w:t xml:space="preserve"> ratio</w:t>
      </w:r>
      <w:r w:rsidR="00312793">
        <w:rPr>
          <w:lang w:val="en-GB"/>
        </w:rPr>
        <w:t xml:space="preserve"> (ACLR</w:t>
      </w:r>
      <w:r w:rsidR="00416367">
        <w:rPr>
          <w:lang w:val="en-GB"/>
        </w:rPr>
        <w:t>)</w:t>
      </w:r>
      <w:r w:rsidR="003723ED">
        <w:rPr>
          <w:lang w:val="en-GB"/>
        </w:rPr>
        <w:t xml:space="preserve"> is typically used to assess interference in an adjacent carrier</w:t>
      </w:r>
      <w:r w:rsidR="00416367">
        <w:rPr>
          <w:lang w:val="en-GB"/>
        </w:rPr>
        <w:t>. H</w:t>
      </w:r>
      <w:r w:rsidR="00293B6C">
        <w:rPr>
          <w:lang w:val="en-GB"/>
        </w:rPr>
        <w:t xml:space="preserve">owever, </w:t>
      </w:r>
      <w:r w:rsidR="003723ED">
        <w:rPr>
          <w:lang w:val="en-GB"/>
        </w:rPr>
        <w:t>it is also a relevant measure for IAB-DU interference into the IAB-MT</w:t>
      </w:r>
      <w:r w:rsidR="00536BC4">
        <w:rPr>
          <w:lang w:val="en-GB"/>
        </w:rPr>
        <w:t>’s</w:t>
      </w:r>
      <w:r w:rsidR="00293B6C">
        <w:rPr>
          <w:lang w:val="en-GB"/>
        </w:rPr>
        <w:t xml:space="preserve"> spectrum. </w:t>
      </w:r>
      <w:r w:rsidR="00E02683">
        <w:rPr>
          <w:lang w:val="en-GB"/>
        </w:rPr>
        <w:t>Adjacent channel leakage</w:t>
      </w:r>
      <w:r w:rsidR="00293B6C" w:rsidRPr="00293B6C">
        <w:rPr>
          <w:lang w:val="en-GB"/>
        </w:rPr>
        <w:t xml:space="preserve"> is the amount of transmit power on an assigned channel that is received in an adjacent channel. This leakage </w:t>
      </w:r>
      <w:r w:rsidR="00E804F5">
        <w:rPr>
          <w:lang w:val="en-GB"/>
        </w:rPr>
        <w:t>signal</w:t>
      </w:r>
      <w:r w:rsidR="00293B6C" w:rsidRPr="00293B6C">
        <w:rPr>
          <w:lang w:val="en-GB"/>
        </w:rPr>
        <w:t xml:space="preserve"> originates from various transmitter imperfections including, RF power amplifier nonlinearity, finite selectivity of filters, transmit waveform generation, and up-conversion from baseband to RF, causing the transmitted signal to spread </w:t>
      </w:r>
      <w:r w:rsidR="00E804F5">
        <w:rPr>
          <w:lang w:val="en-GB"/>
        </w:rPr>
        <w:t>in spectrum</w:t>
      </w:r>
      <w:r w:rsidR="00293B6C" w:rsidRPr="00293B6C">
        <w:rPr>
          <w:lang w:val="en-GB"/>
        </w:rPr>
        <w:t xml:space="preserve"> beyond what is desired. Since the leakage is typically proportional to the transmit power, it is represented as a ratio between the power </w:t>
      </w:r>
      <w:r w:rsidR="00E02683">
        <w:rPr>
          <w:lang w:val="en-GB"/>
        </w:rPr>
        <w:t xml:space="preserve">received </w:t>
      </w:r>
      <w:r w:rsidR="00293B6C" w:rsidRPr="00293B6C">
        <w:rPr>
          <w:lang w:val="en-GB"/>
        </w:rPr>
        <w:t>in the assigned channel</w:t>
      </w:r>
      <w:r w:rsidR="00E02683">
        <w:rPr>
          <w:lang w:val="en-GB"/>
        </w:rPr>
        <w:t xml:space="preserve"> and</w:t>
      </w:r>
      <w:r w:rsidR="00293B6C" w:rsidRPr="00293B6C">
        <w:rPr>
          <w:lang w:val="en-GB"/>
        </w:rPr>
        <w:t xml:space="preserve"> the power </w:t>
      </w:r>
      <w:r w:rsidR="00E02683">
        <w:rPr>
          <w:lang w:val="en-GB"/>
        </w:rPr>
        <w:t xml:space="preserve">received </w:t>
      </w:r>
      <w:r w:rsidR="00293B6C" w:rsidRPr="00293B6C">
        <w:rPr>
          <w:lang w:val="en-GB"/>
        </w:rPr>
        <w:t>in the adjacent channel.</w:t>
      </w:r>
    </w:p>
    <w:p w14:paraId="02546862" w14:textId="725364F8" w:rsidR="002420AE" w:rsidRPr="002420AE" w:rsidRDefault="002420AE" w:rsidP="00C353F7">
      <w:pPr>
        <w:jc w:val="both"/>
        <w:rPr>
          <w:b/>
          <w:lang w:val="en-GB"/>
        </w:rPr>
      </w:pPr>
      <w:r w:rsidRPr="00C353F7">
        <w:t xml:space="preserve">Provided a transmitter uses </w:t>
      </w:r>
      <w:r w:rsidR="005668A9">
        <w:t>a</w:t>
      </w:r>
      <w:r w:rsidRPr="00C353F7">
        <w:t xml:space="preserve"> </w:t>
      </w:r>
      <w:r w:rsidR="00E804F5">
        <w:t>constant</w:t>
      </w:r>
      <w:r w:rsidRPr="00C353F7">
        <w:t xml:space="preserve"> power spectral density across the carrier, the ACLR from the IAB-DU spectrum into the IAB-MT</w:t>
      </w:r>
      <w:r w:rsidR="0082009E">
        <w:rPr>
          <w:lang w:val="en-GB"/>
        </w:rPr>
        <w:t xml:space="preserve"> spectrum</w:t>
      </w:r>
      <w:r w:rsidRPr="002420AE">
        <w:rPr>
          <w:lang w:val="en-GB"/>
        </w:rPr>
        <w:t xml:space="preserve"> </w:t>
      </w:r>
      <w:r w:rsidR="00F050B5">
        <w:t>should follow similar ACLR requirements</w:t>
      </w:r>
      <w:r w:rsidR="00F050B5" w:rsidRPr="002420AE">
        <w:rPr>
          <w:lang w:val="en-GB"/>
        </w:rPr>
        <w:t xml:space="preserve"> </w:t>
      </w:r>
      <w:r w:rsidR="00F050B5">
        <w:rPr>
          <w:lang w:val="en-GB"/>
        </w:rPr>
        <w:t xml:space="preserve">as in an </w:t>
      </w:r>
      <w:r w:rsidR="003723ED">
        <w:rPr>
          <w:lang w:val="en-GB"/>
        </w:rPr>
        <w:t>adjacent</w:t>
      </w:r>
      <w:r w:rsidRPr="002420AE">
        <w:rPr>
          <w:lang w:val="en-GB"/>
        </w:rPr>
        <w:t xml:space="preserve"> carrier</w:t>
      </w:r>
      <w:r w:rsidR="00F050B5">
        <w:rPr>
          <w:lang w:val="en-GB"/>
        </w:rPr>
        <w:t xml:space="preserve"> case</w:t>
      </w:r>
      <w:r w:rsidRPr="002420AE">
        <w:rPr>
          <w:lang w:val="en-GB"/>
        </w:rPr>
        <w:t>. However, if the IAB-MT is power controlled by its parent IAB</w:t>
      </w:r>
      <w:r w:rsidR="00E804F5">
        <w:rPr>
          <w:lang w:val="en-GB"/>
        </w:rPr>
        <w:t>-</w:t>
      </w:r>
      <w:r w:rsidRPr="002420AE">
        <w:rPr>
          <w:lang w:val="en-GB"/>
        </w:rPr>
        <w:t xml:space="preserve">node, the part of the carrier that is used by the IAB-DU may cause </w:t>
      </w:r>
      <w:r w:rsidR="00DB38E3">
        <w:rPr>
          <w:lang w:val="en-GB"/>
        </w:rPr>
        <w:t xml:space="preserve">relatively </w:t>
      </w:r>
      <w:r w:rsidRPr="002420AE">
        <w:rPr>
          <w:lang w:val="en-GB"/>
        </w:rPr>
        <w:t>larger interference in the part of the spectrum that is used by the IAB-MT due to the IAB-MT using a lower transmit power, see</w:t>
      </w:r>
      <w:r w:rsidR="00E51B55">
        <w:rPr>
          <w:lang w:val="en-GB"/>
        </w:rPr>
        <w:t xml:space="preserve"> </w:t>
      </w:r>
      <w:r w:rsidR="00E51B55" w:rsidRPr="00D73593">
        <w:rPr>
          <w:b/>
          <w:lang w:val="en-GB"/>
        </w:rPr>
        <w:fldChar w:fldCharType="begin"/>
      </w:r>
      <w:r w:rsidR="00E51B55" w:rsidRPr="00D73593">
        <w:rPr>
          <w:lang w:val="en-GB"/>
        </w:rPr>
        <w:instrText xml:space="preserve"> REF _Ref71539505 \h  \* MERGEFORMAT </w:instrText>
      </w:r>
      <w:r w:rsidR="00E51B55" w:rsidRPr="00D73593">
        <w:rPr>
          <w:b/>
          <w:lang w:val="en-GB"/>
        </w:rPr>
      </w:r>
      <w:r w:rsidR="00E51B55" w:rsidRPr="00D73593">
        <w:rPr>
          <w:b/>
          <w:lang w:val="en-GB"/>
        </w:rPr>
        <w:fldChar w:fldCharType="separate"/>
      </w:r>
      <w:r w:rsidR="000E3397" w:rsidRPr="00D73593">
        <w:rPr>
          <w:lang w:val="en-GB"/>
        </w:rPr>
        <w:t xml:space="preserve">Figure </w:t>
      </w:r>
      <w:r w:rsidR="000E3397">
        <w:rPr>
          <w:lang w:val="en-GB"/>
        </w:rPr>
        <w:t>1</w:t>
      </w:r>
      <w:r w:rsidR="00E51B55" w:rsidRPr="00D73593">
        <w:rPr>
          <w:b/>
          <w:lang w:val="en-GB"/>
        </w:rPr>
        <w:fldChar w:fldCharType="end"/>
      </w:r>
      <w:r w:rsidR="00E51B55" w:rsidRPr="00D73593">
        <w:rPr>
          <w:lang w:val="en-GB"/>
        </w:rPr>
        <w:t>.</w:t>
      </w:r>
      <w:r w:rsidR="00200DF4">
        <w:rPr>
          <w:lang w:val="en-GB"/>
        </w:rPr>
        <w:t xml:space="preserve"> Hence, </w:t>
      </w:r>
      <w:r w:rsidR="00DD22E0">
        <w:rPr>
          <w:lang w:val="en-GB"/>
        </w:rPr>
        <w:t xml:space="preserve">the IAB-MT’s </w:t>
      </w:r>
      <w:r w:rsidR="00200DF4">
        <w:rPr>
          <w:lang w:val="en-GB"/>
        </w:rPr>
        <w:t xml:space="preserve">transmit power </w:t>
      </w:r>
      <w:r w:rsidR="00DD22E0">
        <w:rPr>
          <w:lang w:val="en-GB"/>
        </w:rPr>
        <w:t xml:space="preserve">in relation to the IAB-DU’s transmit power </w:t>
      </w:r>
      <w:r w:rsidR="00200DF4">
        <w:rPr>
          <w:lang w:val="en-GB"/>
        </w:rPr>
        <w:t xml:space="preserve">may affect </w:t>
      </w:r>
      <w:r w:rsidR="00DD22E0">
        <w:rPr>
          <w:lang w:val="en-GB"/>
        </w:rPr>
        <w:t xml:space="preserve">an IAB node’s </w:t>
      </w:r>
      <w:r w:rsidR="00200DF4">
        <w:rPr>
          <w:lang w:val="en-GB"/>
        </w:rPr>
        <w:t>capability for simultaneous operation</w:t>
      </w:r>
      <w:r w:rsidR="00DD22E0">
        <w:rPr>
          <w:lang w:val="en-GB"/>
        </w:rPr>
        <w:t>.</w:t>
      </w:r>
    </w:p>
    <w:p w14:paraId="1A5B25B0" w14:textId="6853FE13" w:rsidR="003B2A06" w:rsidRPr="00D73593" w:rsidRDefault="008F54DB" w:rsidP="0051401F">
      <w:pPr>
        <w:keepNext/>
        <w:spacing w:before="240"/>
        <w:jc w:val="center"/>
        <w:rPr>
          <w:lang w:val="en-GB"/>
        </w:rPr>
      </w:pPr>
      <w:r w:rsidRPr="00AF5334">
        <w:rPr>
          <w:noProof/>
          <w:lang w:val="en-GB"/>
        </w:rPr>
        <w:object w:dxaOrig="11190" w:dyaOrig="5115" w14:anchorId="77830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452.05pt;height:206.6pt" o:ole="">
            <v:imagedata r:id="rId8" o:title=""/>
          </v:shape>
          <o:OLEObject Type="Embed" ProgID="Visio.Drawing.15" ShapeID="_x0000_i1162" DrawAspect="Content" ObjectID="_1682277378" r:id="rId9"/>
        </w:object>
      </w:r>
    </w:p>
    <w:p w14:paraId="23EF003C" w14:textId="6B1A648E" w:rsidR="006745D4" w:rsidRPr="00D73593" w:rsidRDefault="003B2A06" w:rsidP="003236FD">
      <w:pPr>
        <w:pStyle w:val="Caption"/>
        <w:jc w:val="both"/>
        <w:rPr>
          <w:lang w:val="en-GB"/>
        </w:rPr>
      </w:pPr>
      <w:bookmarkStart w:id="47" w:name="_Ref71539505"/>
      <w:r w:rsidRPr="00D73593">
        <w:rPr>
          <w:lang w:val="en-GB"/>
        </w:rPr>
        <w:t xml:space="preserve">Figure </w:t>
      </w:r>
      <w:r w:rsidRPr="00D73593">
        <w:rPr>
          <w:lang w:val="en-GB"/>
        </w:rPr>
        <w:fldChar w:fldCharType="begin"/>
      </w:r>
      <w:r w:rsidRPr="00D73593">
        <w:rPr>
          <w:lang w:val="en-GB"/>
        </w:rPr>
        <w:instrText xml:space="preserve"> SEQ Figure \* ARABIC </w:instrText>
      </w:r>
      <w:r w:rsidRPr="00D73593">
        <w:rPr>
          <w:lang w:val="en-GB"/>
        </w:rPr>
        <w:fldChar w:fldCharType="separate"/>
      </w:r>
      <w:r w:rsidR="000E3397">
        <w:rPr>
          <w:noProof/>
          <w:lang w:val="en-GB"/>
        </w:rPr>
        <w:t>1</w:t>
      </w:r>
      <w:r w:rsidRPr="00D73593">
        <w:rPr>
          <w:lang w:val="en-GB"/>
        </w:rPr>
        <w:fldChar w:fldCharType="end"/>
      </w:r>
      <w:bookmarkEnd w:id="47"/>
      <w:r w:rsidRPr="00D73593">
        <w:rPr>
          <w:lang w:val="en-GB"/>
        </w:rPr>
        <w:t>:</w:t>
      </w:r>
      <w:r w:rsidR="007E25AB" w:rsidRPr="00D73593">
        <w:rPr>
          <w:lang w:val="en-GB"/>
        </w:rPr>
        <w:t xml:space="preserve"> </w:t>
      </w:r>
      <w:r w:rsidR="00F72F94" w:rsidRPr="00D73593">
        <w:rPr>
          <w:lang w:val="en-GB"/>
        </w:rPr>
        <w:t>Illustration of ACLR and its effect on a power controlled IAB-MT transmission</w:t>
      </w:r>
      <w:r w:rsidR="004242D2">
        <w:rPr>
          <w:lang w:val="en-GB"/>
        </w:rPr>
        <w:t xml:space="preserve"> in FDM simultaneous operation</w:t>
      </w:r>
      <w:r w:rsidR="00F72F94" w:rsidRPr="00D73593">
        <w:rPr>
          <w:lang w:val="en-GB"/>
        </w:rPr>
        <w:t xml:space="preserve">. Left, a strong MT transmission results in manageable </w:t>
      </w:r>
      <w:r w:rsidR="001F4B49">
        <w:rPr>
          <w:lang w:val="en-GB"/>
        </w:rPr>
        <w:t>interference</w:t>
      </w:r>
      <w:r w:rsidR="00F72F94" w:rsidRPr="00D73593">
        <w:rPr>
          <w:lang w:val="en-GB"/>
        </w:rPr>
        <w:t xml:space="preserve"> whereas right shows a weaker MT transmission results in </w:t>
      </w:r>
      <w:r w:rsidR="00E51B55" w:rsidRPr="00D73593">
        <w:rPr>
          <w:lang w:val="en-GB"/>
        </w:rPr>
        <w:t>increased</w:t>
      </w:r>
      <w:r w:rsidR="00F72F94" w:rsidRPr="00D73593">
        <w:rPr>
          <w:lang w:val="en-GB"/>
        </w:rPr>
        <w:t xml:space="preserve"> </w:t>
      </w:r>
      <w:r w:rsidR="001F4B49">
        <w:rPr>
          <w:lang w:val="en-GB"/>
        </w:rPr>
        <w:t>interference</w:t>
      </w:r>
      <w:r w:rsidR="00F72F94" w:rsidRPr="00D73593">
        <w:rPr>
          <w:lang w:val="en-GB"/>
        </w:rPr>
        <w:t>.</w:t>
      </w:r>
    </w:p>
    <w:p w14:paraId="5D0A61E2" w14:textId="43D6E620" w:rsidR="003E06E3" w:rsidRDefault="00DD22E0" w:rsidP="00074C07">
      <w:pPr>
        <w:pStyle w:val="Observation"/>
      </w:pPr>
      <w:bookmarkStart w:id="48" w:name="_Toc71663442"/>
      <w:r>
        <w:t>T</w:t>
      </w:r>
      <w:r w:rsidRPr="00DD22E0">
        <w:t>he IAB-MT’s transmit power in relation to the IAB-DU’s transmit power may affect an IAB node’s capability for simultaneous operation</w:t>
      </w:r>
      <w:r w:rsidR="004C4FFE">
        <w:t>.</w:t>
      </w:r>
      <w:bookmarkEnd w:id="48"/>
    </w:p>
    <w:p w14:paraId="26472F32" w14:textId="01EE5F75" w:rsidR="004C4FFE" w:rsidRPr="00177EB9" w:rsidRDefault="004C4FFE" w:rsidP="00177EB9">
      <w:pPr>
        <w:jc w:val="both"/>
        <w:rPr>
          <w:b/>
          <w:lang w:val="en-GB"/>
        </w:rPr>
      </w:pPr>
      <w:r w:rsidRPr="00177EB9">
        <w:t xml:space="preserve">In order to allow </w:t>
      </w:r>
      <w:r w:rsidRPr="00177EB9">
        <w:rPr>
          <w:lang w:val="en-GB"/>
        </w:rPr>
        <w:t xml:space="preserve">the parent </w:t>
      </w:r>
      <w:r w:rsidR="00CC49D9">
        <w:rPr>
          <w:lang w:val="en-GB"/>
        </w:rPr>
        <w:t>IAB-</w:t>
      </w:r>
      <w:r w:rsidRPr="00177EB9">
        <w:rPr>
          <w:lang w:val="en-GB"/>
        </w:rPr>
        <w:t xml:space="preserve">DU to consider the </w:t>
      </w:r>
      <w:r w:rsidR="00487891" w:rsidRPr="00177EB9">
        <w:rPr>
          <w:lang w:val="en-GB"/>
        </w:rPr>
        <w:t>IAB</w:t>
      </w:r>
      <w:r w:rsidR="00CC49D9">
        <w:rPr>
          <w:lang w:val="en-GB"/>
        </w:rPr>
        <w:t>-</w:t>
      </w:r>
      <w:r w:rsidR="00487891" w:rsidRPr="00177EB9">
        <w:rPr>
          <w:lang w:val="en-GB"/>
        </w:rPr>
        <w:t>node</w:t>
      </w:r>
      <w:r w:rsidR="009F63D0" w:rsidRPr="00177EB9">
        <w:rPr>
          <w:lang w:val="en-GB"/>
        </w:rPr>
        <w:t>’</w:t>
      </w:r>
      <w:r w:rsidR="00487891" w:rsidRPr="00177EB9">
        <w:rPr>
          <w:lang w:val="en-GB"/>
        </w:rPr>
        <w:t xml:space="preserve">s ability </w:t>
      </w:r>
      <w:r w:rsidR="000B0CF0" w:rsidRPr="00177EB9">
        <w:rPr>
          <w:lang w:val="en-GB"/>
        </w:rPr>
        <w:t>for</w:t>
      </w:r>
      <w:r w:rsidR="00487891" w:rsidRPr="00177EB9">
        <w:rPr>
          <w:lang w:val="en-GB"/>
        </w:rPr>
        <w:t xml:space="preserve"> simultaneous operation, it would be </w:t>
      </w:r>
      <w:r w:rsidR="001F4B49">
        <w:rPr>
          <w:lang w:val="en-GB"/>
        </w:rPr>
        <w:t>useful</w:t>
      </w:r>
      <w:r w:rsidR="00487891" w:rsidRPr="00177EB9">
        <w:rPr>
          <w:lang w:val="en-GB"/>
        </w:rPr>
        <w:t xml:space="preserve"> for the </w:t>
      </w:r>
      <w:r w:rsidR="009F63D0" w:rsidRPr="00177EB9">
        <w:rPr>
          <w:lang w:val="en-GB"/>
        </w:rPr>
        <w:t xml:space="preserve">parent </w:t>
      </w:r>
      <w:r w:rsidR="00CC49D9">
        <w:rPr>
          <w:lang w:val="en-GB"/>
        </w:rPr>
        <w:t>IAB-</w:t>
      </w:r>
      <w:r w:rsidR="009F63D0" w:rsidRPr="00177EB9">
        <w:rPr>
          <w:lang w:val="en-GB"/>
        </w:rPr>
        <w:t>DU</w:t>
      </w:r>
      <w:r w:rsidR="00487891" w:rsidRPr="00177EB9">
        <w:rPr>
          <w:lang w:val="en-GB"/>
        </w:rPr>
        <w:t xml:space="preserve"> to know of any limit in </w:t>
      </w:r>
      <w:r w:rsidR="001F4B49">
        <w:rPr>
          <w:lang w:val="en-GB"/>
        </w:rPr>
        <w:t xml:space="preserve">the </w:t>
      </w:r>
      <w:r w:rsidR="00CC49D9">
        <w:rPr>
          <w:lang w:val="en-GB"/>
        </w:rPr>
        <w:t>IAB-</w:t>
      </w:r>
      <w:r w:rsidR="00487891" w:rsidRPr="00177EB9">
        <w:rPr>
          <w:lang w:val="en-GB"/>
        </w:rPr>
        <w:t>MT transmit power that may exist in order for the IAB</w:t>
      </w:r>
      <w:r w:rsidR="00CC49D9">
        <w:rPr>
          <w:lang w:val="en-GB"/>
        </w:rPr>
        <w:t>-</w:t>
      </w:r>
      <w:r w:rsidR="00487891" w:rsidRPr="00177EB9">
        <w:rPr>
          <w:lang w:val="en-GB"/>
        </w:rPr>
        <w:t>node to maintain simultaneous operation</w:t>
      </w:r>
      <w:r w:rsidR="009F63D0" w:rsidRPr="00177EB9">
        <w:rPr>
          <w:lang w:val="en-GB"/>
        </w:rPr>
        <w:t>.</w:t>
      </w:r>
      <w:r w:rsidR="00487891" w:rsidRPr="00177EB9">
        <w:rPr>
          <w:lang w:val="en-GB"/>
        </w:rPr>
        <w:t xml:space="preserve"> </w:t>
      </w:r>
      <w:r w:rsidR="009F63D0" w:rsidRPr="00177EB9">
        <w:rPr>
          <w:lang w:val="en-GB"/>
        </w:rPr>
        <w:t xml:space="preserve">This could be done as </w:t>
      </w:r>
      <w:r w:rsidR="0099000C" w:rsidRPr="00177EB9">
        <w:rPr>
          <w:lang w:val="en-GB"/>
        </w:rPr>
        <w:t xml:space="preserve">a complement or extension to the power headroom report (PHR) that is already provided by the IAB-MT. </w:t>
      </w:r>
      <w:r w:rsidR="0099000C" w:rsidRPr="00177EB9">
        <w:rPr>
          <w:b/>
          <w:lang w:val="en-GB"/>
        </w:rPr>
        <w:fldChar w:fldCharType="begin"/>
      </w:r>
      <w:r w:rsidR="0099000C" w:rsidRPr="00177EB9">
        <w:rPr>
          <w:lang w:val="en-GB"/>
        </w:rPr>
        <w:instrText xml:space="preserve"> REF _Ref71541291 \h  \* MERGEFORMAT </w:instrText>
      </w:r>
      <w:r w:rsidR="0099000C" w:rsidRPr="00177EB9">
        <w:rPr>
          <w:b/>
          <w:lang w:val="en-GB"/>
        </w:rPr>
      </w:r>
      <w:r w:rsidR="0099000C" w:rsidRPr="00177EB9">
        <w:rPr>
          <w:b/>
          <w:lang w:val="en-GB"/>
        </w:rPr>
        <w:fldChar w:fldCharType="separate"/>
      </w:r>
      <w:r w:rsidR="000E3397" w:rsidRPr="00D73593">
        <w:rPr>
          <w:lang w:val="en-GB"/>
        </w:rPr>
        <w:t xml:space="preserve">Figure </w:t>
      </w:r>
      <w:r w:rsidR="000E3397" w:rsidRPr="000E3397">
        <w:rPr>
          <w:lang w:val="en-GB"/>
        </w:rPr>
        <w:t>2</w:t>
      </w:r>
      <w:r w:rsidR="0099000C" w:rsidRPr="00177EB9">
        <w:rPr>
          <w:b/>
          <w:lang w:val="en-GB"/>
        </w:rPr>
        <w:fldChar w:fldCharType="end"/>
      </w:r>
      <w:r w:rsidR="0099000C" w:rsidRPr="00177EB9">
        <w:rPr>
          <w:lang w:val="en-GB"/>
        </w:rPr>
        <w:t xml:space="preserve"> illustrates the above problem </w:t>
      </w:r>
      <w:r w:rsidR="000B0CF0" w:rsidRPr="00177EB9">
        <w:rPr>
          <w:lang w:val="en-GB"/>
        </w:rPr>
        <w:t xml:space="preserve">and also shows that </w:t>
      </w:r>
      <w:r w:rsidR="0099000C" w:rsidRPr="00177EB9">
        <w:rPr>
          <w:lang w:val="en-GB"/>
        </w:rPr>
        <w:t>the PHR</w:t>
      </w:r>
      <w:r w:rsidR="00EC51B5" w:rsidRPr="00177EB9">
        <w:rPr>
          <w:lang w:val="en-GB"/>
        </w:rPr>
        <w:t xml:space="preserve"> will not provide </w:t>
      </w:r>
      <w:r w:rsidR="000B0CF0" w:rsidRPr="00177EB9">
        <w:rPr>
          <w:lang w:val="en-GB"/>
        </w:rPr>
        <w:t xml:space="preserve">all </w:t>
      </w:r>
      <w:r w:rsidR="00EC51B5" w:rsidRPr="00177EB9">
        <w:rPr>
          <w:lang w:val="en-GB"/>
        </w:rPr>
        <w:t xml:space="preserve">the relevant information in the IAB case. In the figure, the IAB-MT operates at a power level indicated by the </w:t>
      </w:r>
      <w:r w:rsidR="00FC3DDA" w:rsidRPr="00177EB9">
        <w:rPr>
          <w:rFonts w:cs="Arial"/>
          <w:lang w:val="en-GB"/>
        </w:rPr>
        <w:t>dot</w:t>
      </w:r>
      <w:r w:rsidR="003A5306" w:rsidRPr="00177EB9">
        <w:rPr>
          <w:rFonts w:cs="Arial"/>
          <w:lang w:val="en-GB"/>
        </w:rPr>
        <w:t xml:space="preserve"> and signals a PHR according to its point of operation</w:t>
      </w:r>
      <w:r w:rsidR="00FC3DDA" w:rsidRPr="00177EB9">
        <w:rPr>
          <w:lang w:val="en-GB"/>
        </w:rPr>
        <w:t xml:space="preserve">. However, </w:t>
      </w:r>
      <w:r w:rsidR="003A5306" w:rsidRPr="00177EB9">
        <w:rPr>
          <w:lang w:val="en-GB"/>
        </w:rPr>
        <w:t xml:space="preserve">based on the PHR, </w:t>
      </w:r>
      <w:r w:rsidR="00FC3DDA" w:rsidRPr="00177EB9">
        <w:rPr>
          <w:lang w:val="en-GB"/>
        </w:rPr>
        <w:t>there is no way for the parent node to know if a power control message to the IAB node will change the mode of operation or not</w:t>
      </w:r>
      <w:r w:rsidR="00CB1E2F">
        <w:rPr>
          <w:lang w:val="en-GB"/>
        </w:rPr>
        <w:t xml:space="preserve"> in the IAB-node</w:t>
      </w:r>
      <w:r w:rsidR="00FC3DDA" w:rsidRPr="00177EB9">
        <w:rPr>
          <w:lang w:val="en-GB"/>
        </w:rPr>
        <w:t xml:space="preserve">. By adding a preferred dynamic range to the PHR, the parent </w:t>
      </w:r>
      <w:r w:rsidR="001B1CD4">
        <w:rPr>
          <w:lang w:val="en-GB"/>
        </w:rPr>
        <w:t>IAB-</w:t>
      </w:r>
      <w:r w:rsidR="00FC3DDA" w:rsidRPr="00177EB9">
        <w:rPr>
          <w:lang w:val="en-GB"/>
        </w:rPr>
        <w:t xml:space="preserve">DU may </w:t>
      </w:r>
      <w:proofErr w:type="gramStart"/>
      <w:r w:rsidR="00676AEE" w:rsidRPr="00177EB9">
        <w:rPr>
          <w:lang w:val="en-GB"/>
        </w:rPr>
        <w:t>take into account</w:t>
      </w:r>
      <w:proofErr w:type="gramEnd"/>
      <w:r w:rsidR="00676AEE" w:rsidRPr="00177EB9">
        <w:rPr>
          <w:lang w:val="en-GB"/>
        </w:rPr>
        <w:t xml:space="preserve"> the IAB</w:t>
      </w:r>
      <w:r w:rsidR="001B1CD4">
        <w:rPr>
          <w:lang w:val="en-GB"/>
        </w:rPr>
        <w:t>-</w:t>
      </w:r>
      <w:r w:rsidR="00676AEE" w:rsidRPr="00177EB9">
        <w:rPr>
          <w:lang w:val="en-GB"/>
        </w:rPr>
        <w:t>node’s mode of operation when making its power control decisions.</w:t>
      </w:r>
    </w:p>
    <w:p w14:paraId="0E73D1BA" w14:textId="79471FB3" w:rsidR="003B2A06" w:rsidRPr="00D73593" w:rsidRDefault="008F54DB" w:rsidP="0051401F">
      <w:pPr>
        <w:keepNext/>
        <w:spacing w:before="240"/>
        <w:jc w:val="center"/>
        <w:rPr>
          <w:lang w:val="en-GB"/>
        </w:rPr>
      </w:pPr>
      <w:r w:rsidRPr="00AF5334">
        <w:rPr>
          <w:noProof/>
          <w:lang w:val="en-GB"/>
        </w:rPr>
        <w:object w:dxaOrig="10261" w:dyaOrig="6121" w14:anchorId="489449D3">
          <v:shape id="_x0000_i1163" type="#_x0000_t75" style="width:452.05pt;height:269.85pt" o:ole="">
            <v:imagedata r:id="rId10" o:title=""/>
          </v:shape>
          <o:OLEObject Type="Embed" ProgID="Visio.Drawing.15" ShapeID="_x0000_i1163" DrawAspect="Content" ObjectID="_1682277379" r:id="rId11"/>
        </w:object>
      </w:r>
    </w:p>
    <w:p w14:paraId="065C652C" w14:textId="02316A10" w:rsidR="006745D4" w:rsidRPr="00D73593" w:rsidRDefault="003B2A06" w:rsidP="003236FD">
      <w:pPr>
        <w:pStyle w:val="Caption"/>
        <w:jc w:val="both"/>
        <w:rPr>
          <w:lang w:val="en-GB"/>
        </w:rPr>
      </w:pPr>
      <w:bookmarkStart w:id="49" w:name="_Ref71541291"/>
      <w:r w:rsidRPr="00D73593">
        <w:rPr>
          <w:lang w:val="en-GB"/>
        </w:rPr>
        <w:t xml:space="preserve">Figure </w:t>
      </w:r>
      <w:r w:rsidRPr="00D73593">
        <w:rPr>
          <w:lang w:val="en-GB"/>
        </w:rPr>
        <w:fldChar w:fldCharType="begin"/>
      </w:r>
      <w:r>
        <w:instrText xml:space="preserve"> SEQ Figure \* ARABIC </w:instrText>
      </w:r>
      <w:r w:rsidRPr="00D73593">
        <w:rPr>
          <w:lang w:val="en-GB"/>
        </w:rPr>
        <w:fldChar w:fldCharType="separate"/>
      </w:r>
      <w:r w:rsidR="000E3397">
        <w:rPr>
          <w:noProof/>
        </w:rPr>
        <w:t>2</w:t>
      </w:r>
      <w:r w:rsidRPr="00D73593">
        <w:rPr>
          <w:lang w:val="en-GB"/>
        </w:rPr>
        <w:fldChar w:fldCharType="end"/>
      </w:r>
      <w:bookmarkEnd w:id="49"/>
      <w:r w:rsidRPr="00D73593">
        <w:rPr>
          <w:lang w:val="en-GB"/>
        </w:rPr>
        <w:t>:</w:t>
      </w:r>
      <w:r w:rsidR="007E25AB" w:rsidRPr="00D73593">
        <w:rPr>
          <w:lang w:val="en-GB"/>
        </w:rPr>
        <w:t xml:space="preserve"> </w:t>
      </w:r>
      <w:r w:rsidR="00C01023" w:rsidRPr="00D73593">
        <w:rPr>
          <w:lang w:val="en-GB"/>
        </w:rPr>
        <w:t>Illustration of the IAB-DU transmit power (top horizontal line) in relation to the IAB-MT’s transmit power for simultaneous operation (middle horizontal line) and the minimum IAB-MT transmit power, regardless of mode of operation (bottom horizontal line).</w:t>
      </w:r>
    </w:p>
    <w:p w14:paraId="22BBB83B" w14:textId="481B78FA" w:rsidR="00CB1E2F" w:rsidRPr="00CB1E2F" w:rsidRDefault="00CB1E2F" w:rsidP="00CB1E2F">
      <w:pPr>
        <w:pStyle w:val="Proposal"/>
      </w:pPr>
      <w:bookmarkStart w:id="50" w:name="_Toc71663456"/>
      <w:r>
        <w:t>Complement the Power Headroom Report with dynamic range information of IAB node.</w:t>
      </w:r>
      <w:bookmarkEnd w:id="50"/>
    </w:p>
    <w:p w14:paraId="24C1D4BD" w14:textId="53786648" w:rsidR="003E06E3" w:rsidRPr="00D73593" w:rsidRDefault="003E06E3" w:rsidP="00074C07">
      <w:pPr>
        <w:pStyle w:val="Proposal"/>
        <w:rPr>
          <w:lang w:eastAsia="en-US"/>
        </w:rPr>
        <w:sectPr w:rsidR="003E06E3" w:rsidRPr="00D73593" w:rsidSect="00850C37">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bookmarkStart w:id="51" w:name="_Toc71663457"/>
      <w:r w:rsidRPr="00D73593">
        <w:t>To assist simultaneous operation</w:t>
      </w:r>
      <w:r w:rsidR="006F6138" w:rsidRPr="00D73593">
        <w:t xml:space="preserve"> </w:t>
      </w:r>
      <w:r w:rsidR="001B1CD4">
        <w:t>of</w:t>
      </w:r>
      <w:r w:rsidR="006F6138" w:rsidRPr="00D73593">
        <w:t xml:space="preserve"> an IAB node</w:t>
      </w:r>
      <w:r w:rsidR="00E32576" w:rsidRPr="00D73593">
        <w:t>,</w:t>
      </w:r>
      <w:r w:rsidRPr="00D73593">
        <w:t xml:space="preserve"> report </w:t>
      </w:r>
      <w:r w:rsidR="006F6138" w:rsidRPr="00D73593">
        <w:t xml:space="preserve">a </w:t>
      </w:r>
      <w:r w:rsidR="006F6138" w:rsidRPr="00D73593">
        <w:rPr>
          <w:i/>
        </w:rPr>
        <w:t>preferred dynamic range</w:t>
      </w:r>
      <w:r w:rsidR="006F6138" w:rsidRPr="00D73593">
        <w:t xml:space="preserve"> necessary to maintain simultaneous operation</w:t>
      </w:r>
      <w:r w:rsidR="0031604C" w:rsidRPr="00D73593">
        <w:t xml:space="preserve"> </w:t>
      </w:r>
      <w:r w:rsidR="00527B9A" w:rsidRPr="00D73593">
        <w:t>together with</w:t>
      </w:r>
      <w:r w:rsidR="0031604C" w:rsidRPr="00D73593">
        <w:t xml:space="preserve"> the PHR reported to the parent IAB node</w:t>
      </w:r>
      <w:r w:rsidR="006F6138" w:rsidRPr="00D73593">
        <w:t>.</w:t>
      </w:r>
      <w:bookmarkEnd w:id="51"/>
    </w:p>
    <w:p w14:paraId="3B0B0A10" w14:textId="77777777" w:rsidR="00C01F33" w:rsidRPr="00CE0424" w:rsidRDefault="00C01F33" w:rsidP="00CE0424">
      <w:pPr>
        <w:pStyle w:val="Heading1"/>
      </w:pPr>
      <w:r w:rsidRPr="00CE0424">
        <w:lastRenderedPageBreak/>
        <w:t>Conclusion</w:t>
      </w:r>
    </w:p>
    <w:p w14:paraId="318DD284" w14:textId="77777777" w:rsidR="008E065E" w:rsidRPr="00D73593" w:rsidRDefault="008E065E" w:rsidP="008E065E">
      <w:pPr>
        <w:pStyle w:val="BodyText"/>
        <w:rPr>
          <w:b/>
          <w:lang w:val="en-GB"/>
        </w:rPr>
      </w:pPr>
      <w:r w:rsidRPr="00D73593">
        <w:rPr>
          <w:lang w:val="en-GB"/>
        </w:rPr>
        <w:t xml:space="preserve">In </w:t>
      </w:r>
      <w:r w:rsidR="007729A2" w:rsidRPr="00D73593">
        <w:rPr>
          <w:lang w:val="en-GB"/>
        </w:rPr>
        <w:t xml:space="preserve">the previous </w:t>
      </w:r>
      <w:r w:rsidRPr="00D73593">
        <w:rPr>
          <w:lang w:val="en-GB"/>
        </w:rPr>
        <w:t>section</w:t>
      </w:r>
      <w:r w:rsidR="007729A2" w:rsidRPr="00D73593">
        <w:rPr>
          <w:lang w:val="en-GB"/>
        </w:rPr>
        <w:t>s</w:t>
      </w:r>
      <w:r w:rsidRPr="00D73593">
        <w:rPr>
          <w:lang w:val="en-GB"/>
        </w:rPr>
        <w:t xml:space="preserve"> we made the following observations:</w:t>
      </w:r>
      <w:r w:rsidR="00C93814" w:rsidRPr="00D73593">
        <w:rPr>
          <w:b/>
          <w:lang w:val="en-GB"/>
        </w:rPr>
        <w:t xml:space="preserve"> </w:t>
      </w:r>
    </w:p>
    <w:p w14:paraId="3CC89F89" w14:textId="77777777" w:rsidR="000E3397" w:rsidRDefault="006F6582" w:rsidP="000E3397">
      <w:pPr>
        <w:pStyle w:val="TableofFigures"/>
        <w:tabs>
          <w:tab w:val="right" w:leader="dot" w:pos="9629"/>
        </w:tabs>
        <w:jc w:val="both"/>
        <w:rPr>
          <w:rFonts w:asciiTheme="minorHAnsi" w:eastAsiaTheme="minorEastAsia" w:hAnsiTheme="minorHAnsi"/>
          <w:b w:val="0"/>
          <w:noProof/>
          <w:sz w:val="22"/>
          <w:lang w:val="sv-SE" w:eastAsia="sv-SE"/>
        </w:rPr>
      </w:pPr>
      <w:r w:rsidRPr="00D73593">
        <w:rPr>
          <w:b w:val="0"/>
          <w:lang w:val="en-GB"/>
        </w:rPr>
        <w:fldChar w:fldCharType="begin"/>
      </w:r>
      <w:r w:rsidRPr="00D73593">
        <w:rPr>
          <w:b w:val="0"/>
          <w:lang w:val="en-GB"/>
        </w:rPr>
        <w:instrText xml:space="preserve"> TOC \f O \n \h \z \t "Observation" \c </w:instrText>
      </w:r>
      <w:r w:rsidRPr="00D73593">
        <w:rPr>
          <w:b w:val="0"/>
          <w:lang w:val="en-GB"/>
        </w:rPr>
        <w:fldChar w:fldCharType="separate"/>
      </w:r>
      <w:hyperlink w:anchor="_Toc71663431" w:history="1">
        <w:r w:rsidR="000E3397" w:rsidRPr="00764C57">
          <w:rPr>
            <w:rStyle w:val="Hyperlink"/>
            <w:noProof/>
          </w:rPr>
          <w:t>Observation 1</w:t>
        </w:r>
        <w:r w:rsidR="000E3397">
          <w:rPr>
            <w:rFonts w:asciiTheme="minorHAnsi" w:eastAsiaTheme="minorEastAsia" w:hAnsiTheme="minorHAnsi"/>
            <w:b w:val="0"/>
            <w:noProof/>
            <w:sz w:val="22"/>
            <w:lang w:val="sv-SE" w:eastAsia="sv-SE"/>
          </w:rPr>
          <w:tab/>
        </w:r>
        <w:r w:rsidR="000E3397" w:rsidRPr="00764C57">
          <w:rPr>
            <w:rStyle w:val="Hyperlink"/>
            <w:noProof/>
          </w:rPr>
          <w:t>It is not guaranteed that an IAB-parent knows the actual TA of descendent IAB-nodes. TA is not signalled in an absolute quantity, but it is provided differentially.</w:t>
        </w:r>
      </w:hyperlink>
    </w:p>
    <w:p w14:paraId="779D17B8"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2" w:history="1">
        <w:r w:rsidRPr="00764C57">
          <w:rPr>
            <w:rStyle w:val="Hyperlink"/>
            <w:noProof/>
          </w:rPr>
          <w:t>Observation 2</w:t>
        </w:r>
        <w:r>
          <w:rPr>
            <w:rFonts w:asciiTheme="minorHAnsi" w:eastAsiaTheme="minorEastAsia" w:hAnsiTheme="minorHAnsi"/>
            <w:b w:val="0"/>
            <w:noProof/>
            <w:sz w:val="22"/>
            <w:lang w:val="sv-SE" w:eastAsia="sv-SE"/>
          </w:rPr>
          <w:tab/>
        </w:r>
        <w:r w:rsidRPr="00764C57">
          <w:rPr>
            <w:rStyle w:val="Hyperlink"/>
            <w:noProof/>
          </w:rPr>
          <w:t>A parent IAB-node does not necessarily know the propagation delay to descendent IAB-nodes.</w:t>
        </w:r>
      </w:hyperlink>
    </w:p>
    <w:p w14:paraId="60A3DC96"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3" w:history="1">
        <w:r w:rsidRPr="00764C57">
          <w:rPr>
            <w:rStyle w:val="Hyperlink"/>
            <w:noProof/>
          </w:rPr>
          <w:t>Observation 3</w:t>
        </w:r>
        <w:r>
          <w:rPr>
            <w:rFonts w:asciiTheme="minorHAnsi" w:eastAsiaTheme="minorEastAsia" w:hAnsiTheme="minorHAnsi"/>
            <w:b w:val="0"/>
            <w:noProof/>
            <w:sz w:val="22"/>
            <w:lang w:val="sv-SE" w:eastAsia="sv-SE"/>
          </w:rPr>
          <w:tab/>
        </w:r>
        <w:r w:rsidRPr="00764C57">
          <w:rPr>
            <w:rStyle w:val="Hyperlink"/>
            <w:noProof/>
          </w:rPr>
          <w:t>T_delta,index is unspecified for values beyond 1199.</w:t>
        </w:r>
      </w:hyperlink>
    </w:p>
    <w:p w14:paraId="09525251"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4" w:history="1">
        <w:r w:rsidRPr="00764C57">
          <w:rPr>
            <w:rStyle w:val="Hyperlink"/>
            <w:noProof/>
          </w:rPr>
          <w:t>Observation 4</w:t>
        </w:r>
        <w:r>
          <w:rPr>
            <w:rFonts w:asciiTheme="minorHAnsi" w:eastAsiaTheme="minorEastAsia" w:hAnsiTheme="minorHAnsi"/>
            <w:b w:val="0"/>
            <w:noProof/>
            <w:sz w:val="22"/>
            <w:lang w:val="sv-SE" w:eastAsia="sv-SE"/>
          </w:rPr>
          <w:tab/>
        </w:r>
        <w:r w:rsidRPr="00764C57">
          <w:rPr>
            <w:rStyle w:val="Hyperlink"/>
            <w:noProof/>
          </w:rPr>
          <w:t>The currently specified range for T_delta,index does not allow indicating a UL Rx timing occurring later than a DL Tx timing.</w:t>
        </w:r>
      </w:hyperlink>
    </w:p>
    <w:p w14:paraId="362CAF83"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5" w:history="1">
        <w:r w:rsidRPr="00764C57">
          <w:rPr>
            <w:rStyle w:val="Hyperlink"/>
            <w:noProof/>
          </w:rPr>
          <w:t>Observation 5</w:t>
        </w:r>
        <w:r>
          <w:rPr>
            <w:rFonts w:asciiTheme="minorHAnsi" w:eastAsiaTheme="minorEastAsia" w:hAnsiTheme="minorHAnsi"/>
            <w:b w:val="0"/>
            <w:noProof/>
            <w:sz w:val="22"/>
            <w:lang w:val="sv-SE" w:eastAsia="sv-SE"/>
          </w:rPr>
          <w:tab/>
        </w:r>
        <w:r w:rsidRPr="00764C57">
          <w:rPr>
            <w:rStyle w:val="Hyperlink"/>
            <w:noProof/>
          </w:rPr>
          <w:t>Based on current specification, T_delta,index based OTA sync cannot be used, if an IAB-node is operating in Case-6 or Case-7 timing configuration.</w:t>
        </w:r>
      </w:hyperlink>
    </w:p>
    <w:p w14:paraId="6B56165E"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6" w:history="1">
        <w:r w:rsidRPr="00764C57">
          <w:rPr>
            <w:rStyle w:val="Hyperlink"/>
            <w:rFonts w:cs="Arial"/>
            <w:noProof/>
          </w:rPr>
          <w:t>Observation 6</w:t>
        </w:r>
        <w:r>
          <w:rPr>
            <w:rFonts w:asciiTheme="minorHAnsi" w:eastAsiaTheme="minorEastAsia" w:hAnsiTheme="minorHAnsi"/>
            <w:b w:val="0"/>
            <w:noProof/>
            <w:sz w:val="22"/>
            <w:lang w:val="sv-SE" w:eastAsia="sv-SE"/>
          </w:rPr>
          <w:tab/>
        </w:r>
        <w:r w:rsidRPr="00764C57">
          <w:rPr>
            <w:rStyle w:val="Hyperlink"/>
            <w:noProof/>
          </w:rPr>
          <w:t>The minimum index values for T_delta,index are supported by current specification of the T_delta MAC CE signaling format.</w:t>
        </w:r>
      </w:hyperlink>
    </w:p>
    <w:p w14:paraId="60A515EC"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7" w:history="1">
        <w:r w:rsidRPr="00764C57">
          <w:rPr>
            <w:rStyle w:val="Hyperlink"/>
            <w:noProof/>
          </w:rPr>
          <w:t>Observation 7</w:t>
        </w:r>
        <w:r>
          <w:rPr>
            <w:rFonts w:asciiTheme="minorHAnsi" w:eastAsiaTheme="minorEastAsia" w:hAnsiTheme="minorHAnsi"/>
            <w:b w:val="0"/>
            <w:noProof/>
            <w:sz w:val="22"/>
            <w:lang w:val="sv-SE" w:eastAsia="sv-SE"/>
          </w:rPr>
          <w:tab/>
        </w:r>
        <w:r w:rsidRPr="00764C57">
          <w:rPr>
            <w:rStyle w:val="Hyperlink"/>
            <w:noProof/>
          </w:rPr>
          <w:t>GNSS is a sufficient synchronization option for both Case-6 and Case-7 timing configurations.</w:t>
        </w:r>
      </w:hyperlink>
    </w:p>
    <w:p w14:paraId="3846EFA7"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8" w:history="1">
        <w:r w:rsidRPr="00764C57">
          <w:rPr>
            <w:rStyle w:val="Hyperlink"/>
            <w:noProof/>
          </w:rPr>
          <w:t>Observation 8</w:t>
        </w:r>
        <w:r>
          <w:rPr>
            <w:rFonts w:asciiTheme="minorHAnsi" w:eastAsiaTheme="minorEastAsia" w:hAnsiTheme="minorHAnsi"/>
            <w:b w:val="0"/>
            <w:noProof/>
            <w:sz w:val="22"/>
            <w:lang w:val="sv-SE" w:eastAsia="sv-SE"/>
          </w:rPr>
          <w:tab/>
        </w:r>
        <w:r w:rsidRPr="00764C57">
          <w:rPr>
            <w:rStyle w:val="Hyperlink"/>
            <w:noProof/>
          </w:rPr>
          <w:t>For wide-area IAB-nodes using downlink slots for backhaul transmissions, network planning is sufficient for interference mitigation.</w:t>
        </w:r>
      </w:hyperlink>
    </w:p>
    <w:p w14:paraId="1464A93F"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39" w:history="1">
        <w:r w:rsidRPr="00764C57">
          <w:rPr>
            <w:rStyle w:val="Hyperlink"/>
            <w:noProof/>
          </w:rPr>
          <w:t>Observation 9</w:t>
        </w:r>
        <w:r>
          <w:rPr>
            <w:rFonts w:asciiTheme="minorHAnsi" w:eastAsiaTheme="minorEastAsia" w:hAnsiTheme="minorHAnsi"/>
            <w:b w:val="0"/>
            <w:noProof/>
            <w:sz w:val="22"/>
            <w:lang w:val="sv-SE" w:eastAsia="sv-SE"/>
          </w:rPr>
          <w:tab/>
        </w:r>
        <w:r w:rsidRPr="00764C57">
          <w:rPr>
            <w:rStyle w:val="Hyperlink"/>
            <w:noProof/>
          </w:rPr>
          <w:t>For wide-area IAB-nodes using uplink slots for uplink backhaul, the most critical interference situation is when an IAB-MT transmission interferes with a UE transmission, and amounts to a gNB transmitting in UL slots.</w:t>
        </w:r>
      </w:hyperlink>
    </w:p>
    <w:p w14:paraId="74BD859D"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0" w:history="1">
        <w:r w:rsidRPr="00764C57">
          <w:rPr>
            <w:rStyle w:val="Hyperlink"/>
            <w:noProof/>
          </w:rPr>
          <w:t>Observation 10</w:t>
        </w:r>
        <w:r>
          <w:rPr>
            <w:rFonts w:asciiTheme="minorHAnsi" w:eastAsiaTheme="minorEastAsia" w:hAnsiTheme="minorHAnsi"/>
            <w:b w:val="0"/>
            <w:noProof/>
            <w:sz w:val="22"/>
            <w:lang w:val="sv-SE" w:eastAsia="sv-SE"/>
          </w:rPr>
          <w:tab/>
        </w:r>
        <w:r w:rsidRPr="00764C57">
          <w:rPr>
            <w:rStyle w:val="Hyperlink"/>
            <w:noProof/>
          </w:rPr>
          <w:t>Wide-area IAB-nodes transmitting in UL slots would cause interference outside the IAB network, causing unexpected blind spots with reduced coverage, and would require more extensive network planning, complicating deployment flexibility, which may affect the overall network performance.</w:t>
        </w:r>
      </w:hyperlink>
    </w:p>
    <w:p w14:paraId="25BBCCED"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1" w:history="1">
        <w:r w:rsidRPr="00764C57">
          <w:rPr>
            <w:rStyle w:val="Hyperlink"/>
            <w:noProof/>
          </w:rPr>
          <w:t>Observation 11</w:t>
        </w:r>
        <w:r>
          <w:rPr>
            <w:rFonts w:asciiTheme="minorHAnsi" w:eastAsiaTheme="minorEastAsia" w:hAnsiTheme="minorHAnsi"/>
            <w:b w:val="0"/>
            <w:noProof/>
            <w:sz w:val="22"/>
            <w:lang w:val="sv-SE" w:eastAsia="sv-SE"/>
          </w:rPr>
          <w:tab/>
        </w:r>
        <w:r w:rsidRPr="00764C57">
          <w:rPr>
            <w:rStyle w:val="Hyperlink"/>
            <w:noProof/>
          </w:rPr>
          <w:t>A parent IAB node may be faced with a too high dynamic range if the signal of a strong (wide area) IAB-MT is received simultaneously as the one of a weaker (local area) IAB-MT or a UE. Providing information to the parent IAB-DU about the transmit power dynamic range of the IAB-MT could be beneficial.</w:t>
        </w:r>
      </w:hyperlink>
    </w:p>
    <w:p w14:paraId="30B1615D"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2" w:history="1">
        <w:r w:rsidRPr="00764C57">
          <w:rPr>
            <w:rStyle w:val="Hyperlink"/>
            <w:noProof/>
          </w:rPr>
          <w:t>Observation 12</w:t>
        </w:r>
        <w:r>
          <w:rPr>
            <w:rFonts w:asciiTheme="minorHAnsi" w:eastAsiaTheme="minorEastAsia" w:hAnsiTheme="minorHAnsi"/>
            <w:b w:val="0"/>
            <w:noProof/>
            <w:sz w:val="22"/>
            <w:lang w:val="sv-SE" w:eastAsia="sv-SE"/>
          </w:rPr>
          <w:tab/>
        </w:r>
        <w:r w:rsidRPr="00764C57">
          <w:rPr>
            <w:rStyle w:val="Hyperlink"/>
            <w:noProof/>
          </w:rPr>
          <w:t>The IAB-MT’s transmit power in relation to the IAB-DU’s transmit power may affect an IAB node’s capability for simultaneous operation.</w:t>
        </w:r>
      </w:hyperlink>
    </w:p>
    <w:p w14:paraId="18DC7615" w14:textId="1FF0E848" w:rsidR="006E1C82" w:rsidRPr="00D73593" w:rsidRDefault="006F6582" w:rsidP="000E3397">
      <w:pPr>
        <w:pStyle w:val="BodyText"/>
        <w:rPr>
          <w:b/>
          <w:lang w:val="en-GB"/>
        </w:rPr>
      </w:pPr>
      <w:r w:rsidRPr="00D73593">
        <w:rPr>
          <w:b/>
          <w:lang w:val="en-GB"/>
        </w:rPr>
        <w:fldChar w:fldCharType="end"/>
      </w:r>
    </w:p>
    <w:p w14:paraId="5CAAD2E7" w14:textId="77777777" w:rsidR="006E1C82" w:rsidRPr="00D73593" w:rsidRDefault="006E1C82" w:rsidP="000E3397">
      <w:pPr>
        <w:pStyle w:val="BodyText"/>
        <w:rPr>
          <w:b/>
          <w:lang w:val="en-GB"/>
        </w:rPr>
      </w:pPr>
    </w:p>
    <w:p w14:paraId="2069C881" w14:textId="77777777" w:rsidR="006E1C82" w:rsidRPr="00D73593" w:rsidRDefault="008E065E" w:rsidP="000E3397">
      <w:pPr>
        <w:pStyle w:val="BodyText"/>
        <w:rPr>
          <w:lang w:val="en-GB"/>
        </w:rPr>
      </w:pPr>
      <w:r w:rsidRPr="00D73593">
        <w:rPr>
          <w:lang w:val="en-GB"/>
        </w:rPr>
        <w:t xml:space="preserve">Based on the discussion in </w:t>
      </w:r>
      <w:r w:rsidR="007729A2" w:rsidRPr="00D73593">
        <w:rPr>
          <w:lang w:val="en-GB"/>
        </w:rPr>
        <w:t xml:space="preserve">the previous </w:t>
      </w:r>
      <w:r w:rsidRPr="00D73593">
        <w:rPr>
          <w:lang w:val="en-GB"/>
        </w:rPr>
        <w:t>section</w:t>
      </w:r>
      <w:r w:rsidR="007729A2" w:rsidRPr="00D73593">
        <w:rPr>
          <w:lang w:val="en-GB"/>
        </w:rPr>
        <w:t>s</w:t>
      </w:r>
      <w:r w:rsidRPr="00D73593">
        <w:rPr>
          <w:lang w:val="en-GB"/>
        </w:rPr>
        <w:t xml:space="preserve"> we propose the following:</w:t>
      </w:r>
    </w:p>
    <w:p w14:paraId="1E0968F9" w14:textId="77777777" w:rsidR="000E3397" w:rsidRDefault="006E1C82" w:rsidP="000E3397">
      <w:pPr>
        <w:pStyle w:val="TableofFigures"/>
        <w:tabs>
          <w:tab w:val="right" w:leader="dot" w:pos="9629"/>
        </w:tabs>
        <w:jc w:val="both"/>
        <w:rPr>
          <w:rFonts w:asciiTheme="minorHAnsi" w:eastAsiaTheme="minorEastAsia" w:hAnsiTheme="minorHAnsi"/>
          <w:b w:val="0"/>
          <w:noProof/>
          <w:sz w:val="22"/>
          <w:lang w:val="sv-SE" w:eastAsia="sv-SE"/>
        </w:rPr>
      </w:pPr>
      <w:r w:rsidRPr="00D73593">
        <w:rPr>
          <w:b w:val="0"/>
          <w:lang w:val="en-GB"/>
        </w:rPr>
        <w:fldChar w:fldCharType="begin"/>
      </w:r>
      <w:r w:rsidRPr="00D73593">
        <w:rPr>
          <w:b w:val="0"/>
          <w:lang w:val="en-GB"/>
        </w:rPr>
        <w:instrText xml:space="preserve"> TOC \n \h \z \t "Proposal" \c </w:instrText>
      </w:r>
      <w:r w:rsidRPr="00D73593">
        <w:rPr>
          <w:b w:val="0"/>
          <w:lang w:val="en-GB"/>
        </w:rPr>
        <w:fldChar w:fldCharType="separate"/>
      </w:r>
      <w:hyperlink w:anchor="_Toc71663443" w:history="1">
        <w:r w:rsidR="000E3397" w:rsidRPr="0034554F">
          <w:rPr>
            <w:rStyle w:val="Hyperlink"/>
            <w:noProof/>
          </w:rPr>
          <w:t>Proposal 1</w:t>
        </w:r>
        <w:r w:rsidR="000E3397">
          <w:rPr>
            <w:rFonts w:asciiTheme="minorHAnsi" w:eastAsiaTheme="minorEastAsia" w:hAnsiTheme="minorHAnsi"/>
            <w:b w:val="0"/>
            <w:noProof/>
            <w:sz w:val="22"/>
            <w:lang w:val="sv-SE" w:eastAsia="sv-SE"/>
          </w:rPr>
          <w:tab/>
        </w:r>
        <w:r w:rsidR="000E3397" w:rsidRPr="0034554F">
          <w:rPr>
            <w:rStyle w:val="Hyperlink"/>
            <w:noProof/>
          </w:rPr>
          <w:t>Extend the valid T_delta index range from (0,1…1199) to (0,1…2047).</w:t>
        </w:r>
      </w:hyperlink>
    </w:p>
    <w:p w14:paraId="6A0CE615"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4" w:history="1">
        <w:r w:rsidRPr="0034554F">
          <w:rPr>
            <w:rStyle w:val="Hyperlink"/>
            <w:noProof/>
          </w:rPr>
          <w:t>Proposal 2</w:t>
        </w:r>
        <w:r>
          <w:rPr>
            <w:rFonts w:asciiTheme="minorHAnsi" w:eastAsiaTheme="minorEastAsia" w:hAnsiTheme="minorHAnsi"/>
            <w:b w:val="0"/>
            <w:noProof/>
            <w:sz w:val="22"/>
            <w:lang w:val="sv-SE" w:eastAsia="sv-SE"/>
          </w:rPr>
          <w:tab/>
        </w:r>
        <w:r w:rsidRPr="0034554F">
          <w:rPr>
            <w:rStyle w:val="Hyperlink"/>
            <w:noProof/>
          </w:rPr>
          <w:t>Discuss whether there exist use cases with increased ISD, and if so, if these use cases warrants extending the bit field of the T_delta MAC CE.</w:t>
        </w:r>
      </w:hyperlink>
    </w:p>
    <w:p w14:paraId="0BE3945D"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5" w:history="1">
        <w:r w:rsidRPr="0034554F">
          <w:rPr>
            <w:rStyle w:val="Hyperlink"/>
            <w:noProof/>
          </w:rPr>
          <w:t>Proposal 3</w:t>
        </w:r>
        <w:r>
          <w:rPr>
            <w:rFonts w:asciiTheme="minorHAnsi" w:eastAsiaTheme="minorEastAsia" w:hAnsiTheme="minorHAnsi"/>
            <w:b w:val="0"/>
            <w:noProof/>
            <w:sz w:val="22"/>
            <w:lang w:val="sv-SE" w:eastAsia="sv-SE"/>
          </w:rPr>
          <w:tab/>
        </w:r>
        <w:r w:rsidRPr="0034554F">
          <w:rPr>
            <w:rStyle w:val="Hyperlink"/>
            <w:noProof/>
          </w:rPr>
          <w:t>IAB nodes using GNSS can rely on GNSS for Case-6 and Case-7 timing.</w:t>
        </w:r>
      </w:hyperlink>
    </w:p>
    <w:p w14:paraId="34BF7A5E"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6" w:history="1">
        <w:r w:rsidRPr="0034554F">
          <w:rPr>
            <w:rStyle w:val="Hyperlink"/>
            <w:noProof/>
          </w:rPr>
          <w:t>Proposal 4</w:t>
        </w:r>
        <w:r>
          <w:rPr>
            <w:rFonts w:asciiTheme="minorHAnsi" w:eastAsiaTheme="minorEastAsia" w:hAnsiTheme="minorHAnsi"/>
            <w:b w:val="0"/>
            <w:noProof/>
            <w:sz w:val="22"/>
            <w:lang w:val="sv-SE" w:eastAsia="sv-SE"/>
          </w:rPr>
          <w:tab/>
        </w:r>
        <w:r w:rsidRPr="0034554F">
          <w:rPr>
            <w:rStyle w:val="Hyperlink"/>
            <w:noProof/>
          </w:rPr>
          <w:t>RAN1 should focus on the cases where interference is more severe than in a non-IAB network.</w:t>
        </w:r>
      </w:hyperlink>
    </w:p>
    <w:p w14:paraId="30C64609"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7" w:history="1">
        <w:r w:rsidRPr="0034554F">
          <w:rPr>
            <w:rStyle w:val="Hyperlink"/>
            <w:noProof/>
          </w:rPr>
          <w:t>Proposal 5</w:t>
        </w:r>
        <w:r>
          <w:rPr>
            <w:rFonts w:asciiTheme="minorHAnsi" w:eastAsiaTheme="minorEastAsia" w:hAnsiTheme="minorHAnsi"/>
            <w:b w:val="0"/>
            <w:noProof/>
            <w:sz w:val="22"/>
            <w:lang w:val="sv-SE" w:eastAsia="sv-SE"/>
          </w:rPr>
          <w:tab/>
        </w:r>
        <w:r w:rsidRPr="0034554F">
          <w:rPr>
            <w:rStyle w:val="Hyperlink"/>
            <w:noProof/>
          </w:rPr>
          <w:t>To identify and address relevant interference scenarios, RAN1 should agree on:</w:t>
        </w:r>
      </w:hyperlink>
    </w:p>
    <w:p w14:paraId="41799199"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8" w:history="1">
        <w:r w:rsidRPr="0034554F">
          <w:rPr>
            <w:rStyle w:val="Hyperlink"/>
            <w:noProof/>
          </w:rPr>
          <w:t>a.</w:t>
        </w:r>
        <w:r>
          <w:rPr>
            <w:rFonts w:asciiTheme="minorHAnsi" w:eastAsiaTheme="minorEastAsia" w:hAnsiTheme="minorHAnsi"/>
            <w:b w:val="0"/>
            <w:noProof/>
            <w:sz w:val="22"/>
            <w:lang w:val="sv-SE" w:eastAsia="sv-SE"/>
          </w:rPr>
          <w:tab/>
        </w:r>
        <w:r w:rsidRPr="0034554F">
          <w:rPr>
            <w:rStyle w:val="Hyperlink"/>
            <w:noProof/>
          </w:rPr>
          <w:t>Whether multiplexing Case-A and Case-B should take place in DL and/or UL slots for wide-area IAB-nodes,</w:t>
        </w:r>
      </w:hyperlink>
    </w:p>
    <w:p w14:paraId="6FD37B9D"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49" w:history="1">
        <w:r w:rsidRPr="0034554F">
          <w:rPr>
            <w:rStyle w:val="Hyperlink"/>
            <w:noProof/>
          </w:rPr>
          <w:t>b.</w:t>
        </w:r>
        <w:r>
          <w:rPr>
            <w:rFonts w:asciiTheme="minorHAnsi" w:eastAsiaTheme="minorEastAsia" w:hAnsiTheme="minorHAnsi"/>
            <w:b w:val="0"/>
            <w:noProof/>
            <w:sz w:val="22"/>
            <w:lang w:val="sv-SE" w:eastAsia="sv-SE"/>
          </w:rPr>
          <w:tab/>
        </w:r>
        <w:r w:rsidRPr="0034554F">
          <w:rPr>
            <w:rStyle w:val="Hyperlink"/>
            <w:noProof/>
          </w:rPr>
          <w:t>Whether backhaul traffic is separated from or mixed with access traffic, and,</w:t>
        </w:r>
      </w:hyperlink>
    </w:p>
    <w:p w14:paraId="1F3A187E"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0" w:history="1">
        <w:r w:rsidRPr="0034554F">
          <w:rPr>
            <w:rStyle w:val="Hyperlink"/>
            <w:noProof/>
          </w:rPr>
          <w:t>c.</w:t>
        </w:r>
        <w:r>
          <w:rPr>
            <w:rFonts w:asciiTheme="minorHAnsi" w:eastAsiaTheme="minorEastAsia" w:hAnsiTheme="minorHAnsi"/>
            <w:b w:val="0"/>
            <w:noProof/>
            <w:sz w:val="22"/>
            <w:lang w:val="sv-SE" w:eastAsia="sv-SE"/>
          </w:rPr>
          <w:tab/>
        </w:r>
        <w:r w:rsidRPr="0034554F">
          <w:rPr>
            <w:rStyle w:val="Hyperlink"/>
            <w:noProof/>
          </w:rPr>
          <w:t>Whether the interference scenario is relevant for wide-area and/or local-area nodes.</w:t>
        </w:r>
      </w:hyperlink>
    </w:p>
    <w:p w14:paraId="12CA6754"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1" w:history="1">
        <w:r w:rsidRPr="0034554F">
          <w:rPr>
            <w:rStyle w:val="Hyperlink"/>
            <w:noProof/>
          </w:rPr>
          <w:t>Proposal 6</w:t>
        </w:r>
        <w:r>
          <w:rPr>
            <w:rFonts w:asciiTheme="minorHAnsi" w:eastAsiaTheme="minorEastAsia" w:hAnsiTheme="minorHAnsi"/>
            <w:b w:val="0"/>
            <w:noProof/>
            <w:sz w:val="22"/>
            <w:lang w:val="sv-SE" w:eastAsia="sv-SE"/>
          </w:rPr>
          <w:tab/>
        </w:r>
        <w:r w:rsidRPr="0034554F">
          <w:rPr>
            <w:rStyle w:val="Hyperlink"/>
            <w:noProof/>
          </w:rPr>
          <w:t>A wide-area IAB-DU only transmits in DL slots.</w:t>
        </w:r>
      </w:hyperlink>
    </w:p>
    <w:p w14:paraId="79EAB4EA"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2" w:history="1">
        <w:r w:rsidRPr="0034554F">
          <w:rPr>
            <w:rStyle w:val="Hyperlink"/>
            <w:noProof/>
          </w:rPr>
          <w:t>Proposal 7</w:t>
        </w:r>
        <w:r>
          <w:rPr>
            <w:rFonts w:asciiTheme="minorHAnsi" w:eastAsiaTheme="minorEastAsia" w:hAnsiTheme="minorHAnsi"/>
            <w:b w:val="0"/>
            <w:noProof/>
            <w:sz w:val="22"/>
            <w:lang w:val="sv-SE" w:eastAsia="sv-SE"/>
          </w:rPr>
          <w:tab/>
        </w:r>
        <w:r w:rsidRPr="0034554F">
          <w:rPr>
            <w:rStyle w:val="Hyperlink"/>
            <w:noProof/>
          </w:rPr>
          <w:t>Backhaul traffic is assumed to be separated from access traffic.</w:t>
        </w:r>
      </w:hyperlink>
    </w:p>
    <w:p w14:paraId="3C2B6613"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3" w:history="1">
        <w:r w:rsidRPr="0034554F">
          <w:rPr>
            <w:rStyle w:val="Hyperlink"/>
            <w:noProof/>
          </w:rPr>
          <w:t>Proposal 8</w:t>
        </w:r>
        <w:r>
          <w:rPr>
            <w:rFonts w:asciiTheme="minorHAnsi" w:eastAsiaTheme="minorEastAsia" w:hAnsiTheme="minorHAnsi"/>
            <w:b w:val="0"/>
            <w:noProof/>
            <w:sz w:val="22"/>
            <w:lang w:val="sv-SE" w:eastAsia="sv-SE"/>
          </w:rPr>
          <w:tab/>
        </w:r>
        <w:r w:rsidRPr="0034554F">
          <w:rPr>
            <w:rStyle w:val="Hyperlink"/>
            <w:noProof/>
          </w:rPr>
          <w:t>Similar to gNBs, interference management between wide-area IABs operating backhaul links in DL slots is handled by network planning.</w:t>
        </w:r>
      </w:hyperlink>
    </w:p>
    <w:p w14:paraId="67F7C47C"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4" w:history="1">
        <w:r w:rsidRPr="0034554F">
          <w:rPr>
            <w:rStyle w:val="Hyperlink"/>
            <w:noProof/>
          </w:rPr>
          <w:t>Proposal 9</w:t>
        </w:r>
        <w:r>
          <w:rPr>
            <w:rFonts w:asciiTheme="minorHAnsi" w:eastAsiaTheme="minorEastAsia" w:hAnsiTheme="minorHAnsi"/>
            <w:b w:val="0"/>
            <w:noProof/>
            <w:sz w:val="22"/>
            <w:lang w:val="sv-SE" w:eastAsia="sv-SE"/>
          </w:rPr>
          <w:tab/>
        </w:r>
        <w:r w:rsidRPr="0034554F">
          <w:rPr>
            <w:rStyle w:val="Hyperlink"/>
            <w:noProof/>
          </w:rPr>
          <w:t>DU-to-DU interference measurement and reporting can be handled by implementation, and no specification is required.</w:t>
        </w:r>
      </w:hyperlink>
    </w:p>
    <w:p w14:paraId="2739C43B"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5" w:history="1">
        <w:r w:rsidRPr="0034554F">
          <w:rPr>
            <w:rStyle w:val="Hyperlink"/>
            <w:noProof/>
          </w:rPr>
          <w:t>Proposal 10</w:t>
        </w:r>
        <w:r>
          <w:rPr>
            <w:rFonts w:asciiTheme="minorHAnsi" w:eastAsiaTheme="minorEastAsia" w:hAnsiTheme="minorHAnsi"/>
            <w:b w:val="0"/>
            <w:noProof/>
            <w:sz w:val="22"/>
            <w:lang w:val="sv-SE" w:eastAsia="sv-SE"/>
          </w:rPr>
          <w:tab/>
        </w:r>
        <w:r w:rsidRPr="0034554F">
          <w:rPr>
            <w:rStyle w:val="Hyperlink"/>
            <w:noProof/>
          </w:rPr>
          <w:t>Since some configurations do not require specification of additional interference schemes, any specification of additional interference measurement to be optional.</w:t>
        </w:r>
      </w:hyperlink>
    </w:p>
    <w:p w14:paraId="6E29D696"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6" w:history="1">
        <w:r w:rsidRPr="0034554F">
          <w:rPr>
            <w:rStyle w:val="Hyperlink"/>
            <w:noProof/>
          </w:rPr>
          <w:t>Proposal 11</w:t>
        </w:r>
        <w:r>
          <w:rPr>
            <w:rFonts w:asciiTheme="minorHAnsi" w:eastAsiaTheme="minorEastAsia" w:hAnsiTheme="minorHAnsi"/>
            <w:b w:val="0"/>
            <w:noProof/>
            <w:sz w:val="22"/>
            <w:lang w:val="sv-SE" w:eastAsia="sv-SE"/>
          </w:rPr>
          <w:tab/>
        </w:r>
        <w:r w:rsidRPr="0034554F">
          <w:rPr>
            <w:rStyle w:val="Hyperlink"/>
            <w:noProof/>
          </w:rPr>
          <w:t>Complement the Power Headroom Report with dynamic range information of IAB node.</w:t>
        </w:r>
      </w:hyperlink>
    </w:p>
    <w:p w14:paraId="561A1973" w14:textId="77777777" w:rsidR="000E3397" w:rsidRDefault="000E3397" w:rsidP="000E3397">
      <w:pPr>
        <w:pStyle w:val="TableofFigures"/>
        <w:tabs>
          <w:tab w:val="right" w:leader="dot" w:pos="9629"/>
        </w:tabs>
        <w:jc w:val="both"/>
        <w:rPr>
          <w:rFonts w:asciiTheme="minorHAnsi" w:eastAsiaTheme="minorEastAsia" w:hAnsiTheme="minorHAnsi"/>
          <w:b w:val="0"/>
          <w:noProof/>
          <w:sz w:val="22"/>
          <w:lang w:val="sv-SE" w:eastAsia="sv-SE"/>
        </w:rPr>
      </w:pPr>
      <w:hyperlink w:anchor="_Toc71663457" w:history="1">
        <w:r w:rsidRPr="0034554F">
          <w:rPr>
            <w:rStyle w:val="Hyperlink"/>
            <w:noProof/>
          </w:rPr>
          <w:t>Proposal 12</w:t>
        </w:r>
        <w:r>
          <w:rPr>
            <w:rFonts w:asciiTheme="minorHAnsi" w:eastAsiaTheme="minorEastAsia" w:hAnsiTheme="minorHAnsi"/>
            <w:b w:val="0"/>
            <w:noProof/>
            <w:sz w:val="22"/>
            <w:lang w:val="sv-SE" w:eastAsia="sv-SE"/>
          </w:rPr>
          <w:tab/>
        </w:r>
        <w:r w:rsidRPr="0034554F">
          <w:rPr>
            <w:rStyle w:val="Hyperlink"/>
            <w:noProof/>
          </w:rPr>
          <w:t xml:space="preserve">To assist simultaneous operation of an IAB node, report a </w:t>
        </w:r>
        <w:r w:rsidRPr="0034554F">
          <w:rPr>
            <w:rStyle w:val="Hyperlink"/>
            <w:i/>
            <w:noProof/>
          </w:rPr>
          <w:t>preferred dynamic range</w:t>
        </w:r>
        <w:r w:rsidRPr="0034554F">
          <w:rPr>
            <w:rStyle w:val="Hyperlink"/>
            <w:noProof/>
          </w:rPr>
          <w:t xml:space="preserve"> necessary to maintain simultaneous operation together with the PHR reported to the parent IAB node.</w:t>
        </w:r>
      </w:hyperlink>
    </w:p>
    <w:p w14:paraId="02835BE2" w14:textId="424F2C6A" w:rsidR="00C01F33" w:rsidRPr="007136D5" w:rsidRDefault="006E1C82" w:rsidP="000E3397">
      <w:pPr>
        <w:pStyle w:val="BodyText"/>
        <w:rPr>
          <w:b/>
          <w:lang w:val="en-GB"/>
        </w:rPr>
      </w:pPr>
      <w:r w:rsidRPr="00D73593">
        <w:rPr>
          <w:b/>
          <w:lang w:val="en-GB"/>
        </w:rPr>
        <w:fldChar w:fldCharType="end"/>
      </w:r>
    </w:p>
    <w:p w14:paraId="0468A7D9" w14:textId="77777777" w:rsidR="00F507D1" w:rsidRPr="00CE0424" w:rsidRDefault="00F507D1" w:rsidP="00CE0424">
      <w:pPr>
        <w:pStyle w:val="Heading1"/>
      </w:pPr>
      <w:bookmarkStart w:id="52" w:name="_In-sequence_SDU_delivery"/>
      <w:bookmarkEnd w:id="52"/>
      <w:r w:rsidRPr="00CE0424">
        <w:t>References</w:t>
      </w:r>
    </w:p>
    <w:p w14:paraId="5E8CF370" w14:textId="62298E16" w:rsidR="00F5364A" w:rsidRPr="00F5364A" w:rsidRDefault="00F5364A" w:rsidP="00311702">
      <w:pPr>
        <w:pStyle w:val="Reference"/>
        <w:rPr>
          <w:lang w:val="en-GB"/>
        </w:rPr>
      </w:pPr>
      <w:bookmarkStart w:id="53" w:name="_Ref174151459"/>
      <w:bookmarkStart w:id="54" w:name="_Ref189809556"/>
      <w:bookmarkStart w:id="55" w:name="_Ref71549482"/>
      <w:bookmarkStart w:id="56" w:name="_Ref71549998"/>
      <w:r w:rsidRPr="00F5364A">
        <w:rPr>
          <w:rFonts w:cs="Arial"/>
          <w:lang w:val="en-GB"/>
        </w:rPr>
        <w:t>“</w:t>
      </w:r>
      <w:r>
        <w:rPr>
          <w:rFonts w:cs="Arial"/>
          <w:lang w:val="en-GB"/>
        </w:rPr>
        <w:t xml:space="preserve">RAN1 </w:t>
      </w:r>
      <w:r w:rsidRPr="00F5364A">
        <w:rPr>
          <w:rFonts w:cs="Arial"/>
          <w:lang w:val="en-GB"/>
        </w:rPr>
        <w:t>Chairman’s Notes”, 3GPP TSG RAN WG1 Meeting #103e, November 2020</w:t>
      </w:r>
      <w:bookmarkEnd w:id="56"/>
      <w:r w:rsidR="00973EFA">
        <w:rPr>
          <w:rFonts w:cs="Arial"/>
          <w:lang w:val="en-GB"/>
        </w:rPr>
        <w:t>.</w:t>
      </w:r>
    </w:p>
    <w:p w14:paraId="1DB5BF1A" w14:textId="167347CC" w:rsidR="00F5364A" w:rsidRPr="00973EFA" w:rsidRDefault="00F5364A" w:rsidP="00311702">
      <w:pPr>
        <w:pStyle w:val="Reference"/>
        <w:rPr>
          <w:lang w:val="en-GB"/>
        </w:rPr>
      </w:pPr>
      <w:bookmarkStart w:id="57" w:name="_Ref71550009"/>
      <w:r w:rsidRPr="00F5364A">
        <w:rPr>
          <w:rFonts w:cs="Arial"/>
          <w:lang w:val="en-GB"/>
        </w:rPr>
        <w:t>“</w:t>
      </w:r>
      <w:r>
        <w:rPr>
          <w:rFonts w:cs="Arial"/>
          <w:lang w:val="en-GB"/>
        </w:rPr>
        <w:t xml:space="preserve">RAN1 </w:t>
      </w:r>
      <w:r w:rsidRPr="00F5364A">
        <w:rPr>
          <w:rFonts w:cs="Arial"/>
          <w:lang w:val="en-GB"/>
        </w:rPr>
        <w:t>Chairman’s Notes”, 3GPP TSG RAN WG1 Meeting #104e, February 2021</w:t>
      </w:r>
      <w:bookmarkEnd w:id="57"/>
      <w:r w:rsidR="00973EFA">
        <w:rPr>
          <w:rFonts w:cs="Arial"/>
          <w:lang w:val="en-GB"/>
        </w:rPr>
        <w:t>.</w:t>
      </w:r>
    </w:p>
    <w:p w14:paraId="5F9610A9" w14:textId="3D786C3D" w:rsidR="00973EFA" w:rsidRPr="00F5364A" w:rsidRDefault="00973EFA" w:rsidP="00311702">
      <w:pPr>
        <w:pStyle w:val="Reference"/>
        <w:rPr>
          <w:lang w:val="en-GB"/>
        </w:rPr>
      </w:pPr>
      <w:bookmarkStart w:id="58" w:name="_Ref71648311"/>
      <w:r>
        <w:rPr>
          <w:rFonts w:cs="Arial"/>
          <w:lang w:val="en-GB"/>
        </w:rPr>
        <w:t>R1-2105852, “</w:t>
      </w:r>
      <w:r w:rsidRPr="00973EFA">
        <w:rPr>
          <w:rFonts w:cs="Arial"/>
          <w:lang w:val="en-GB"/>
        </w:rPr>
        <w:t>Resource multiplexing and DC in enhanced IAB</w:t>
      </w:r>
      <w:r>
        <w:rPr>
          <w:rFonts w:cs="Arial"/>
          <w:lang w:val="en-GB"/>
        </w:rPr>
        <w:t xml:space="preserve">,” Ericsson, </w:t>
      </w:r>
      <w:r>
        <w:rPr>
          <w:rFonts w:cs="Arial"/>
          <w:lang w:val="en-GB" w:eastAsia="ja-JP"/>
        </w:rPr>
        <w:t>RAN1 #10</w:t>
      </w:r>
      <w:r>
        <w:rPr>
          <w:rFonts w:cs="Arial"/>
          <w:lang w:val="en-GB" w:eastAsia="ja-JP"/>
        </w:rPr>
        <w:t>5</w:t>
      </w:r>
      <w:r>
        <w:rPr>
          <w:rFonts w:cs="Arial"/>
          <w:lang w:val="en-GB" w:eastAsia="ja-JP"/>
        </w:rPr>
        <w:t xml:space="preserve">-e, </w:t>
      </w:r>
      <w:r>
        <w:rPr>
          <w:rFonts w:cs="Arial"/>
          <w:lang w:val="en-GB" w:eastAsia="ja-JP"/>
        </w:rPr>
        <w:t>May</w:t>
      </w:r>
      <w:r>
        <w:rPr>
          <w:rFonts w:cs="Arial"/>
          <w:lang w:val="en-GB" w:eastAsia="ja-JP"/>
        </w:rPr>
        <w:t xml:space="preserve"> 2021</w:t>
      </w:r>
      <w:r>
        <w:rPr>
          <w:rFonts w:cs="Arial"/>
          <w:lang w:val="en-GB" w:eastAsia="ja-JP"/>
        </w:rPr>
        <w:t>.</w:t>
      </w:r>
      <w:bookmarkEnd w:id="58"/>
    </w:p>
    <w:p w14:paraId="54294ED4" w14:textId="07D38DFF" w:rsidR="00D73593" w:rsidRPr="00F5364A" w:rsidRDefault="00D73593" w:rsidP="00311702">
      <w:pPr>
        <w:pStyle w:val="Reference"/>
        <w:rPr>
          <w:lang w:val="en-GB"/>
        </w:rPr>
      </w:pPr>
      <w:bookmarkStart w:id="59" w:name="_Ref71576254"/>
      <w:bookmarkEnd w:id="55"/>
      <w:r w:rsidRPr="00F5364A">
        <w:rPr>
          <w:rFonts w:cs="Arial"/>
          <w:lang w:val="en-GB" w:eastAsia="ja-JP"/>
        </w:rPr>
        <w:t>TS 38.213</w:t>
      </w:r>
      <w:r w:rsidR="00F5364A">
        <w:rPr>
          <w:rFonts w:cs="Arial"/>
          <w:lang w:val="en-GB" w:eastAsia="ja-JP"/>
        </w:rPr>
        <w:t xml:space="preserve">, </w:t>
      </w:r>
      <w:r w:rsidR="00F5364A" w:rsidRPr="00F5364A">
        <w:rPr>
          <w:rFonts w:cs="Arial"/>
          <w:lang w:val="en-GB" w:eastAsia="ja-JP"/>
        </w:rPr>
        <w:t>“NR; Physical layer procedures for control (Release 16)”, 3GPP, V16.5.0, March 2021</w:t>
      </w:r>
      <w:bookmarkEnd w:id="59"/>
      <w:r w:rsidR="00973EFA">
        <w:rPr>
          <w:rFonts w:cs="Arial"/>
          <w:lang w:val="en-GB" w:eastAsia="ja-JP"/>
        </w:rPr>
        <w:t>.</w:t>
      </w:r>
    </w:p>
    <w:p w14:paraId="1EB7CEE9" w14:textId="59FB13D3" w:rsidR="00433952" w:rsidRPr="00212B6F" w:rsidRDefault="00433952" w:rsidP="00311702">
      <w:pPr>
        <w:pStyle w:val="Reference"/>
        <w:rPr>
          <w:rFonts w:cs="Arial"/>
          <w:lang w:val="en-GB" w:eastAsia="ja-JP"/>
        </w:rPr>
      </w:pPr>
      <w:bookmarkStart w:id="60" w:name="_Ref71549697"/>
      <w:r w:rsidRPr="00816237">
        <w:rPr>
          <w:rFonts w:cs="Arial"/>
          <w:lang w:val="en-GB" w:eastAsia="ja-JP"/>
        </w:rPr>
        <w:t>R1-2101696</w:t>
      </w:r>
      <w:r w:rsidR="008E0FD2">
        <w:rPr>
          <w:rFonts w:cs="Arial"/>
          <w:lang w:val="en-GB" w:eastAsia="ja-JP"/>
        </w:rPr>
        <w:t>, “</w:t>
      </w:r>
      <w:r w:rsidR="008E0FD2" w:rsidRPr="00F5364A">
        <w:rPr>
          <w:lang w:val="en-GB"/>
        </w:rPr>
        <w:t>Timing, CLI and power control in enhanced IAB</w:t>
      </w:r>
      <w:r w:rsidR="008E0FD2">
        <w:rPr>
          <w:rFonts w:cs="Arial"/>
          <w:lang w:val="en-GB" w:eastAsia="ja-JP"/>
        </w:rPr>
        <w:t>”, Ericsson, RAN1 #104-e, January 2021</w:t>
      </w:r>
      <w:bookmarkEnd w:id="60"/>
      <w:r w:rsidR="00973EFA">
        <w:rPr>
          <w:rFonts w:cs="Arial"/>
          <w:lang w:val="en-GB" w:eastAsia="ja-JP"/>
        </w:rPr>
        <w:t>.</w:t>
      </w:r>
    </w:p>
    <w:p w14:paraId="71560AA1" w14:textId="10347B98" w:rsidR="00212B6F" w:rsidRPr="0051401F" w:rsidRDefault="00212B6F" w:rsidP="00311702">
      <w:pPr>
        <w:pStyle w:val="Reference"/>
        <w:rPr>
          <w:lang w:val="en-GB"/>
        </w:rPr>
      </w:pPr>
      <w:bookmarkStart w:id="61" w:name="_Ref71576756"/>
      <w:r w:rsidRPr="00212B6F">
        <w:rPr>
          <w:lang w:val="en-GB"/>
        </w:rPr>
        <w:t>TS 38.321, “NR; Medium Access Control (MAC) protocol specification,” 3GPP, V16.3.0, December 2020</w:t>
      </w:r>
      <w:bookmarkEnd w:id="61"/>
      <w:r w:rsidR="00973EFA">
        <w:rPr>
          <w:lang w:val="en-GB"/>
        </w:rPr>
        <w:t>.</w:t>
      </w:r>
    </w:p>
    <w:p w14:paraId="2F5BCA9E" w14:textId="487625F3" w:rsidR="0051401F" w:rsidRPr="0051401F" w:rsidRDefault="0051401F" w:rsidP="00311702">
      <w:pPr>
        <w:pStyle w:val="Reference"/>
        <w:rPr>
          <w:lang w:val="en-GB"/>
        </w:rPr>
      </w:pPr>
      <w:bookmarkStart w:id="62" w:name="_Ref71550078"/>
      <w:r w:rsidRPr="0051401F">
        <w:rPr>
          <w:rFonts w:cstheme="minorHAnsi"/>
          <w:lang w:val="en-GB"/>
        </w:rPr>
        <w:t>TS 38.174, “NR; Integrated Access and Backhaul radio transmission and reception,” 3GPP, V.16.1.0, December 2020</w:t>
      </w:r>
      <w:bookmarkEnd w:id="62"/>
      <w:r w:rsidR="00973EFA">
        <w:rPr>
          <w:rFonts w:cstheme="minorHAnsi"/>
          <w:lang w:val="en-GB"/>
        </w:rPr>
        <w:t>.</w:t>
      </w:r>
    </w:p>
    <w:p w14:paraId="564710BE" w14:textId="779AA9CD" w:rsidR="0051401F" w:rsidRPr="0051401F" w:rsidRDefault="0051401F" w:rsidP="00311702">
      <w:pPr>
        <w:pStyle w:val="Reference"/>
        <w:rPr>
          <w:lang w:val="en-GB"/>
        </w:rPr>
      </w:pPr>
      <w:bookmarkStart w:id="63" w:name="_Ref71550407"/>
      <w:r w:rsidRPr="0051401F">
        <w:rPr>
          <w:lang w:val="en-GB"/>
        </w:rPr>
        <w:t>TR 38.828, “Cross Link Interference (CLI) handling and Remote Interference Management (RIM) for NR”, 3GPP, V16.1.0, September 2019</w:t>
      </w:r>
      <w:bookmarkEnd w:id="63"/>
      <w:r w:rsidR="00973EFA">
        <w:rPr>
          <w:lang w:val="en-GB"/>
        </w:rPr>
        <w:t>.</w:t>
      </w:r>
    </w:p>
    <w:bookmarkEnd w:id="53"/>
    <w:bookmarkEnd w:id="54"/>
    <w:p w14:paraId="37047E72" w14:textId="77777777" w:rsidR="003A7EF3" w:rsidRPr="00D73593" w:rsidRDefault="003A7EF3" w:rsidP="00CE0424">
      <w:pPr>
        <w:pStyle w:val="BodyText"/>
        <w:rPr>
          <w:lang w:val="en-GB"/>
        </w:rPr>
      </w:pPr>
    </w:p>
    <w:sectPr w:rsidR="003A7EF3" w:rsidRPr="00D7359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E6A02" w14:textId="77777777" w:rsidR="0084499B" w:rsidRDefault="0084499B">
      <w:r>
        <w:separator/>
      </w:r>
    </w:p>
  </w:endnote>
  <w:endnote w:type="continuationSeparator" w:id="0">
    <w:p w14:paraId="7A022656" w14:textId="77777777" w:rsidR="0084499B" w:rsidRDefault="0084499B">
      <w:r>
        <w:continuationSeparator/>
      </w:r>
    </w:p>
  </w:endnote>
  <w:endnote w:type="continuationNotice" w:id="1">
    <w:p w14:paraId="077F2DF5" w14:textId="77777777" w:rsidR="0084499B" w:rsidRDefault="008449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6D33F" w14:textId="77777777" w:rsidR="0084499B" w:rsidRDefault="0084499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03C1C" w14:textId="77777777" w:rsidR="0084499B" w:rsidRDefault="0084499B">
      <w:r>
        <w:separator/>
      </w:r>
    </w:p>
  </w:footnote>
  <w:footnote w:type="continuationSeparator" w:id="0">
    <w:p w14:paraId="49CCD06B" w14:textId="77777777" w:rsidR="0084499B" w:rsidRDefault="0084499B">
      <w:r>
        <w:continuationSeparator/>
      </w:r>
    </w:p>
  </w:footnote>
  <w:footnote w:type="continuationNotice" w:id="1">
    <w:p w14:paraId="17632CD7" w14:textId="77777777" w:rsidR="0084499B" w:rsidRDefault="008449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7AA25" w14:textId="77777777" w:rsidR="0084499B" w:rsidRDefault="0084499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9D269D"/>
    <w:multiLevelType w:val="hybridMultilevel"/>
    <w:tmpl w:val="BAD86B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B23C4B"/>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A644FF"/>
    <w:multiLevelType w:val="hybridMultilevel"/>
    <w:tmpl w:val="92B0E6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C50496A" w:tentative="1">
      <w:start w:val="1"/>
      <w:numFmt w:val="bullet"/>
      <w:lvlText w:val="•"/>
      <w:lvlJc w:val="left"/>
      <w:pPr>
        <w:tabs>
          <w:tab w:val="num" w:pos="2160"/>
        </w:tabs>
        <w:ind w:left="2160" w:hanging="360"/>
      </w:pPr>
      <w:rPr>
        <w:rFonts w:ascii="Arial" w:hAnsi="Arial" w:hint="default"/>
      </w:rPr>
    </w:lvl>
    <w:lvl w:ilvl="3" w:tplc="E320DD90" w:tentative="1">
      <w:start w:val="1"/>
      <w:numFmt w:val="bullet"/>
      <w:lvlText w:val="•"/>
      <w:lvlJc w:val="left"/>
      <w:pPr>
        <w:tabs>
          <w:tab w:val="num" w:pos="2880"/>
        </w:tabs>
        <w:ind w:left="2880" w:hanging="360"/>
      </w:pPr>
      <w:rPr>
        <w:rFonts w:ascii="Arial" w:hAnsi="Arial" w:hint="default"/>
      </w:rPr>
    </w:lvl>
    <w:lvl w:ilvl="4" w:tplc="94EA6392" w:tentative="1">
      <w:start w:val="1"/>
      <w:numFmt w:val="bullet"/>
      <w:lvlText w:val="•"/>
      <w:lvlJc w:val="left"/>
      <w:pPr>
        <w:tabs>
          <w:tab w:val="num" w:pos="3600"/>
        </w:tabs>
        <w:ind w:left="3600" w:hanging="360"/>
      </w:pPr>
      <w:rPr>
        <w:rFonts w:ascii="Arial" w:hAnsi="Arial" w:hint="default"/>
      </w:rPr>
    </w:lvl>
    <w:lvl w:ilvl="5" w:tplc="366657A2" w:tentative="1">
      <w:start w:val="1"/>
      <w:numFmt w:val="bullet"/>
      <w:lvlText w:val="•"/>
      <w:lvlJc w:val="left"/>
      <w:pPr>
        <w:tabs>
          <w:tab w:val="num" w:pos="4320"/>
        </w:tabs>
        <w:ind w:left="4320" w:hanging="360"/>
      </w:pPr>
      <w:rPr>
        <w:rFonts w:ascii="Arial" w:hAnsi="Arial" w:hint="default"/>
      </w:rPr>
    </w:lvl>
    <w:lvl w:ilvl="6" w:tplc="3438D6D2" w:tentative="1">
      <w:start w:val="1"/>
      <w:numFmt w:val="bullet"/>
      <w:lvlText w:val="•"/>
      <w:lvlJc w:val="left"/>
      <w:pPr>
        <w:tabs>
          <w:tab w:val="num" w:pos="5040"/>
        </w:tabs>
        <w:ind w:left="5040" w:hanging="360"/>
      </w:pPr>
      <w:rPr>
        <w:rFonts w:ascii="Arial" w:hAnsi="Arial" w:hint="default"/>
      </w:rPr>
    </w:lvl>
    <w:lvl w:ilvl="7" w:tplc="AD807278" w:tentative="1">
      <w:start w:val="1"/>
      <w:numFmt w:val="bullet"/>
      <w:lvlText w:val="•"/>
      <w:lvlJc w:val="left"/>
      <w:pPr>
        <w:tabs>
          <w:tab w:val="num" w:pos="5760"/>
        </w:tabs>
        <w:ind w:left="5760" w:hanging="360"/>
      </w:pPr>
      <w:rPr>
        <w:rFonts w:ascii="Arial" w:hAnsi="Arial" w:hint="default"/>
      </w:rPr>
    </w:lvl>
    <w:lvl w:ilvl="8" w:tplc="CA0A7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1C129A"/>
    <w:multiLevelType w:val="hybridMultilevel"/>
    <w:tmpl w:val="ED323E62"/>
    <w:lvl w:ilvl="0" w:tplc="08090001">
      <w:start w:val="1"/>
      <w:numFmt w:val="bullet"/>
      <w:lvlText w:val=""/>
      <w:lvlJc w:val="left"/>
      <w:pPr>
        <w:ind w:left="720" w:hanging="360"/>
      </w:pPr>
      <w:rPr>
        <w:rFonts w:ascii="Symbol" w:hAnsi="Symbol" w:hint="default"/>
      </w:rPr>
    </w:lvl>
    <w:lvl w:ilvl="1" w:tplc="1512D5A6" w:tentative="1">
      <w:start w:val="1"/>
      <w:numFmt w:val="bullet"/>
      <w:lvlText w:val="•"/>
      <w:lvlJc w:val="left"/>
      <w:pPr>
        <w:tabs>
          <w:tab w:val="num" w:pos="1440"/>
        </w:tabs>
        <w:ind w:left="1440" w:hanging="360"/>
      </w:pPr>
      <w:rPr>
        <w:rFonts w:ascii="Arial" w:hAnsi="Arial" w:hint="default"/>
      </w:rPr>
    </w:lvl>
    <w:lvl w:ilvl="2" w:tplc="D19AAA24" w:tentative="1">
      <w:start w:val="1"/>
      <w:numFmt w:val="bullet"/>
      <w:lvlText w:val="•"/>
      <w:lvlJc w:val="left"/>
      <w:pPr>
        <w:tabs>
          <w:tab w:val="num" w:pos="2160"/>
        </w:tabs>
        <w:ind w:left="2160" w:hanging="360"/>
      </w:pPr>
      <w:rPr>
        <w:rFonts w:ascii="Arial" w:hAnsi="Arial" w:hint="default"/>
      </w:rPr>
    </w:lvl>
    <w:lvl w:ilvl="3" w:tplc="DC60DC50" w:tentative="1">
      <w:start w:val="1"/>
      <w:numFmt w:val="bullet"/>
      <w:lvlText w:val="•"/>
      <w:lvlJc w:val="left"/>
      <w:pPr>
        <w:tabs>
          <w:tab w:val="num" w:pos="2880"/>
        </w:tabs>
        <w:ind w:left="2880" w:hanging="360"/>
      </w:pPr>
      <w:rPr>
        <w:rFonts w:ascii="Arial" w:hAnsi="Arial" w:hint="default"/>
      </w:rPr>
    </w:lvl>
    <w:lvl w:ilvl="4" w:tplc="730AE25A" w:tentative="1">
      <w:start w:val="1"/>
      <w:numFmt w:val="bullet"/>
      <w:lvlText w:val="•"/>
      <w:lvlJc w:val="left"/>
      <w:pPr>
        <w:tabs>
          <w:tab w:val="num" w:pos="3600"/>
        </w:tabs>
        <w:ind w:left="3600" w:hanging="360"/>
      </w:pPr>
      <w:rPr>
        <w:rFonts w:ascii="Arial" w:hAnsi="Arial" w:hint="default"/>
      </w:rPr>
    </w:lvl>
    <w:lvl w:ilvl="5" w:tplc="1CB2255A" w:tentative="1">
      <w:start w:val="1"/>
      <w:numFmt w:val="bullet"/>
      <w:lvlText w:val="•"/>
      <w:lvlJc w:val="left"/>
      <w:pPr>
        <w:tabs>
          <w:tab w:val="num" w:pos="4320"/>
        </w:tabs>
        <w:ind w:left="4320" w:hanging="360"/>
      </w:pPr>
      <w:rPr>
        <w:rFonts w:ascii="Arial" w:hAnsi="Arial" w:hint="default"/>
      </w:rPr>
    </w:lvl>
    <w:lvl w:ilvl="6" w:tplc="48543C9E" w:tentative="1">
      <w:start w:val="1"/>
      <w:numFmt w:val="bullet"/>
      <w:lvlText w:val="•"/>
      <w:lvlJc w:val="left"/>
      <w:pPr>
        <w:tabs>
          <w:tab w:val="num" w:pos="5040"/>
        </w:tabs>
        <w:ind w:left="5040" w:hanging="360"/>
      </w:pPr>
      <w:rPr>
        <w:rFonts w:ascii="Arial" w:hAnsi="Arial" w:hint="default"/>
      </w:rPr>
    </w:lvl>
    <w:lvl w:ilvl="7" w:tplc="F1C81010" w:tentative="1">
      <w:start w:val="1"/>
      <w:numFmt w:val="bullet"/>
      <w:lvlText w:val="•"/>
      <w:lvlJc w:val="left"/>
      <w:pPr>
        <w:tabs>
          <w:tab w:val="num" w:pos="5760"/>
        </w:tabs>
        <w:ind w:left="5760" w:hanging="360"/>
      </w:pPr>
      <w:rPr>
        <w:rFonts w:ascii="Arial" w:hAnsi="Arial" w:hint="default"/>
      </w:rPr>
    </w:lvl>
    <w:lvl w:ilvl="8" w:tplc="A53806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5A6EA970"/>
    <w:lvl w:ilvl="0" w:tplc="ABC4201C">
      <w:start w:val="1"/>
      <w:numFmt w:val="decimal"/>
      <w:pStyle w:val="Propos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A267E"/>
    <w:multiLevelType w:val="hybridMultilevel"/>
    <w:tmpl w:val="DCE6E9C8"/>
    <w:lvl w:ilvl="0" w:tplc="4F1EB706">
      <w:start w:val="1"/>
      <w:numFmt w:val="bullet"/>
      <w:lvlText w:val="•"/>
      <w:lvlJc w:val="left"/>
      <w:pPr>
        <w:tabs>
          <w:tab w:val="num" w:pos="720"/>
        </w:tabs>
        <w:ind w:left="720" w:hanging="360"/>
      </w:pPr>
      <w:rPr>
        <w:rFonts w:ascii="Arial" w:hAnsi="Arial" w:hint="default"/>
      </w:rPr>
    </w:lvl>
    <w:lvl w:ilvl="1" w:tplc="D9F8B54E">
      <w:start w:val="1"/>
      <w:numFmt w:val="bullet"/>
      <w:lvlText w:val="•"/>
      <w:lvlJc w:val="left"/>
      <w:pPr>
        <w:tabs>
          <w:tab w:val="num" w:pos="1440"/>
        </w:tabs>
        <w:ind w:left="1440" w:hanging="360"/>
      </w:pPr>
      <w:rPr>
        <w:rFonts w:ascii="Arial" w:hAnsi="Arial" w:hint="default"/>
      </w:rPr>
    </w:lvl>
    <w:lvl w:ilvl="2" w:tplc="0818CF2E">
      <w:numFmt w:val="bullet"/>
      <w:lvlText w:val="•"/>
      <w:lvlJc w:val="left"/>
      <w:pPr>
        <w:tabs>
          <w:tab w:val="num" w:pos="2160"/>
        </w:tabs>
        <w:ind w:left="2160" w:hanging="360"/>
      </w:pPr>
      <w:rPr>
        <w:rFonts w:ascii="Arial" w:hAnsi="Arial" w:hint="default"/>
      </w:rPr>
    </w:lvl>
    <w:lvl w:ilvl="3" w:tplc="B198C446" w:tentative="1">
      <w:start w:val="1"/>
      <w:numFmt w:val="bullet"/>
      <w:lvlText w:val="•"/>
      <w:lvlJc w:val="left"/>
      <w:pPr>
        <w:tabs>
          <w:tab w:val="num" w:pos="2880"/>
        </w:tabs>
        <w:ind w:left="2880" w:hanging="360"/>
      </w:pPr>
      <w:rPr>
        <w:rFonts w:ascii="Arial" w:hAnsi="Arial" w:hint="default"/>
      </w:rPr>
    </w:lvl>
    <w:lvl w:ilvl="4" w:tplc="575262B6" w:tentative="1">
      <w:start w:val="1"/>
      <w:numFmt w:val="bullet"/>
      <w:lvlText w:val="•"/>
      <w:lvlJc w:val="left"/>
      <w:pPr>
        <w:tabs>
          <w:tab w:val="num" w:pos="3600"/>
        </w:tabs>
        <w:ind w:left="3600" w:hanging="360"/>
      </w:pPr>
      <w:rPr>
        <w:rFonts w:ascii="Arial" w:hAnsi="Arial" w:hint="default"/>
      </w:rPr>
    </w:lvl>
    <w:lvl w:ilvl="5" w:tplc="3B0E115E" w:tentative="1">
      <w:start w:val="1"/>
      <w:numFmt w:val="bullet"/>
      <w:lvlText w:val="•"/>
      <w:lvlJc w:val="left"/>
      <w:pPr>
        <w:tabs>
          <w:tab w:val="num" w:pos="4320"/>
        </w:tabs>
        <w:ind w:left="4320" w:hanging="360"/>
      </w:pPr>
      <w:rPr>
        <w:rFonts w:ascii="Arial" w:hAnsi="Arial" w:hint="default"/>
      </w:rPr>
    </w:lvl>
    <w:lvl w:ilvl="6" w:tplc="86944C9E" w:tentative="1">
      <w:start w:val="1"/>
      <w:numFmt w:val="bullet"/>
      <w:lvlText w:val="•"/>
      <w:lvlJc w:val="left"/>
      <w:pPr>
        <w:tabs>
          <w:tab w:val="num" w:pos="5040"/>
        </w:tabs>
        <w:ind w:left="5040" w:hanging="360"/>
      </w:pPr>
      <w:rPr>
        <w:rFonts w:ascii="Arial" w:hAnsi="Arial" w:hint="default"/>
      </w:rPr>
    </w:lvl>
    <w:lvl w:ilvl="7" w:tplc="CBB0B7EE" w:tentative="1">
      <w:start w:val="1"/>
      <w:numFmt w:val="bullet"/>
      <w:lvlText w:val="•"/>
      <w:lvlJc w:val="left"/>
      <w:pPr>
        <w:tabs>
          <w:tab w:val="num" w:pos="5760"/>
        </w:tabs>
        <w:ind w:left="5760" w:hanging="360"/>
      </w:pPr>
      <w:rPr>
        <w:rFonts w:ascii="Arial" w:hAnsi="Arial" w:hint="default"/>
      </w:rPr>
    </w:lvl>
    <w:lvl w:ilvl="8" w:tplc="CD3E48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035C81"/>
    <w:multiLevelType w:val="hybridMultilevel"/>
    <w:tmpl w:val="9D4E4EE6"/>
    <w:lvl w:ilvl="0" w:tplc="05B092D0">
      <w:start w:val="1"/>
      <w:numFmt w:val="bullet"/>
      <w:lvlText w:val=""/>
      <w:lvlJc w:val="left"/>
      <w:pPr>
        <w:ind w:left="720" w:hanging="360"/>
      </w:pPr>
      <w:rPr>
        <w:rFonts w:ascii="Symbol" w:eastAsia="Times New Roman" w:hAnsi="Symbol" w:cstheme="minorHAns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82121"/>
    <w:multiLevelType w:val="hybridMultilevel"/>
    <w:tmpl w:val="5734F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EA1405"/>
    <w:multiLevelType w:val="hybridMultilevel"/>
    <w:tmpl w:val="AB80C1C6"/>
    <w:lvl w:ilvl="0" w:tplc="04090003">
      <w:start w:val="1"/>
      <w:numFmt w:val="bullet"/>
      <w:lvlText w:val="o"/>
      <w:lvlJc w:val="left"/>
      <w:pPr>
        <w:ind w:left="1440" w:hanging="360"/>
      </w:pPr>
      <w:rPr>
        <w:rFonts w:ascii="Courier New" w:hAnsi="Courier New" w:cs="Courier New" w:hint="default"/>
      </w:rPr>
    </w:lvl>
    <w:lvl w:ilvl="1" w:tplc="77706FA6" w:tentative="1">
      <w:start w:val="1"/>
      <w:numFmt w:val="bullet"/>
      <w:lvlText w:val="•"/>
      <w:lvlJc w:val="left"/>
      <w:pPr>
        <w:tabs>
          <w:tab w:val="num" w:pos="1440"/>
        </w:tabs>
        <w:ind w:left="1440" w:hanging="360"/>
      </w:pPr>
      <w:rPr>
        <w:rFonts w:ascii="Arial" w:hAnsi="Arial" w:hint="default"/>
      </w:rPr>
    </w:lvl>
    <w:lvl w:ilvl="2" w:tplc="97AE6C0E" w:tentative="1">
      <w:start w:val="1"/>
      <w:numFmt w:val="bullet"/>
      <w:lvlText w:val="•"/>
      <w:lvlJc w:val="left"/>
      <w:pPr>
        <w:tabs>
          <w:tab w:val="num" w:pos="2160"/>
        </w:tabs>
        <w:ind w:left="2160" w:hanging="360"/>
      </w:pPr>
      <w:rPr>
        <w:rFonts w:ascii="Arial" w:hAnsi="Arial" w:hint="default"/>
      </w:rPr>
    </w:lvl>
    <w:lvl w:ilvl="3" w:tplc="AC12BF66" w:tentative="1">
      <w:start w:val="1"/>
      <w:numFmt w:val="bullet"/>
      <w:lvlText w:val="•"/>
      <w:lvlJc w:val="left"/>
      <w:pPr>
        <w:tabs>
          <w:tab w:val="num" w:pos="2880"/>
        </w:tabs>
        <w:ind w:left="2880" w:hanging="360"/>
      </w:pPr>
      <w:rPr>
        <w:rFonts w:ascii="Arial" w:hAnsi="Arial" w:hint="default"/>
      </w:rPr>
    </w:lvl>
    <w:lvl w:ilvl="4" w:tplc="37121894" w:tentative="1">
      <w:start w:val="1"/>
      <w:numFmt w:val="bullet"/>
      <w:lvlText w:val="•"/>
      <w:lvlJc w:val="left"/>
      <w:pPr>
        <w:tabs>
          <w:tab w:val="num" w:pos="3600"/>
        </w:tabs>
        <w:ind w:left="3600" w:hanging="360"/>
      </w:pPr>
      <w:rPr>
        <w:rFonts w:ascii="Arial" w:hAnsi="Arial" w:hint="default"/>
      </w:rPr>
    </w:lvl>
    <w:lvl w:ilvl="5" w:tplc="4846202A" w:tentative="1">
      <w:start w:val="1"/>
      <w:numFmt w:val="bullet"/>
      <w:lvlText w:val="•"/>
      <w:lvlJc w:val="left"/>
      <w:pPr>
        <w:tabs>
          <w:tab w:val="num" w:pos="4320"/>
        </w:tabs>
        <w:ind w:left="4320" w:hanging="360"/>
      </w:pPr>
      <w:rPr>
        <w:rFonts w:ascii="Arial" w:hAnsi="Arial" w:hint="default"/>
      </w:rPr>
    </w:lvl>
    <w:lvl w:ilvl="6" w:tplc="356CD98C" w:tentative="1">
      <w:start w:val="1"/>
      <w:numFmt w:val="bullet"/>
      <w:lvlText w:val="•"/>
      <w:lvlJc w:val="left"/>
      <w:pPr>
        <w:tabs>
          <w:tab w:val="num" w:pos="5040"/>
        </w:tabs>
        <w:ind w:left="5040" w:hanging="360"/>
      </w:pPr>
      <w:rPr>
        <w:rFonts w:ascii="Arial" w:hAnsi="Arial" w:hint="default"/>
      </w:rPr>
    </w:lvl>
    <w:lvl w:ilvl="7" w:tplc="811217A8" w:tentative="1">
      <w:start w:val="1"/>
      <w:numFmt w:val="bullet"/>
      <w:lvlText w:val="•"/>
      <w:lvlJc w:val="left"/>
      <w:pPr>
        <w:tabs>
          <w:tab w:val="num" w:pos="5760"/>
        </w:tabs>
        <w:ind w:left="5760" w:hanging="360"/>
      </w:pPr>
      <w:rPr>
        <w:rFonts w:ascii="Arial" w:hAnsi="Arial" w:hint="default"/>
      </w:rPr>
    </w:lvl>
    <w:lvl w:ilvl="8" w:tplc="FA44ACB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F361B8"/>
    <w:multiLevelType w:val="hybridMultilevel"/>
    <w:tmpl w:val="2ABCF1E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5BE0542" w:tentative="1">
      <w:start w:val="1"/>
      <w:numFmt w:val="bullet"/>
      <w:lvlText w:val="•"/>
      <w:lvlJc w:val="left"/>
      <w:pPr>
        <w:tabs>
          <w:tab w:val="num" w:pos="2160"/>
        </w:tabs>
        <w:ind w:left="2160" w:hanging="360"/>
      </w:pPr>
      <w:rPr>
        <w:rFonts w:ascii="Arial" w:hAnsi="Arial" w:hint="default"/>
      </w:rPr>
    </w:lvl>
    <w:lvl w:ilvl="3" w:tplc="179066D4" w:tentative="1">
      <w:start w:val="1"/>
      <w:numFmt w:val="bullet"/>
      <w:lvlText w:val="•"/>
      <w:lvlJc w:val="left"/>
      <w:pPr>
        <w:tabs>
          <w:tab w:val="num" w:pos="2880"/>
        </w:tabs>
        <w:ind w:left="2880" w:hanging="360"/>
      </w:pPr>
      <w:rPr>
        <w:rFonts w:ascii="Arial" w:hAnsi="Arial" w:hint="default"/>
      </w:rPr>
    </w:lvl>
    <w:lvl w:ilvl="4" w:tplc="6518C2EE" w:tentative="1">
      <w:start w:val="1"/>
      <w:numFmt w:val="bullet"/>
      <w:lvlText w:val="•"/>
      <w:lvlJc w:val="left"/>
      <w:pPr>
        <w:tabs>
          <w:tab w:val="num" w:pos="3600"/>
        </w:tabs>
        <w:ind w:left="3600" w:hanging="360"/>
      </w:pPr>
      <w:rPr>
        <w:rFonts w:ascii="Arial" w:hAnsi="Arial" w:hint="default"/>
      </w:rPr>
    </w:lvl>
    <w:lvl w:ilvl="5" w:tplc="9BD815FA" w:tentative="1">
      <w:start w:val="1"/>
      <w:numFmt w:val="bullet"/>
      <w:lvlText w:val="•"/>
      <w:lvlJc w:val="left"/>
      <w:pPr>
        <w:tabs>
          <w:tab w:val="num" w:pos="4320"/>
        </w:tabs>
        <w:ind w:left="4320" w:hanging="360"/>
      </w:pPr>
      <w:rPr>
        <w:rFonts w:ascii="Arial" w:hAnsi="Arial" w:hint="default"/>
      </w:rPr>
    </w:lvl>
    <w:lvl w:ilvl="6" w:tplc="610EC0C8" w:tentative="1">
      <w:start w:val="1"/>
      <w:numFmt w:val="bullet"/>
      <w:lvlText w:val="•"/>
      <w:lvlJc w:val="left"/>
      <w:pPr>
        <w:tabs>
          <w:tab w:val="num" w:pos="5040"/>
        </w:tabs>
        <w:ind w:left="5040" w:hanging="360"/>
      </w:pPr>
      <w:rPr>
        <w:rFonts w:ascii="Arial" w:hAnsi="Arial" w:hint="default"/>
      </w:rPr>
    </w:lvl>
    <w:lvl w:ilvl="7" w:tplc="4C220FCE" w:tentative="1">
      <w:start w:val="1"/>
      <w:numFmt w:val="bullet"/>
      <w:lvlText w:val="•"/>
      <w:lvlJc w:val="left"/>
      <w:pPr>
        <w:tabs>
          <w:tab w:val="num" w:pos="5760"/>
        </w:tabs>
        <w:ind w:left="5760" w:hanging="360"/>
      </w:pPr>
      <w:rPr>
        <w:rFonts w:ascii="Arial" w:hAnsi="Arial" w:hint="default"/>
      </w:rPr>
    </w:lvl>
    <w:lvl w:ilvl="8" w:tplc="957A0E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1A0A68"/>
    <w:multiLevelType w:val="hybridMultilevel"/>
    <w:tmpl w:val="871244B6"/>
    <w:lvl w:ilvl="0" w:tplc="08090001">
      <w:start w:val="1"/>
      <w:numFmt w:val="bullet"/>
      <w:lvlText w:val=""/>
      <w:lvlJc w:val="left"/>
      <w:pPr>
        <w:ind w:left="720" w:hanging="360"/>
      </w:pPr>
      <w:rPr>
        <w:rFonts w:ascii="Symbol" w:hAnsi="Symbol" w:hint="default"/>
      </w:rPr>
    </w:lvl>
    <w:lvl w:ilvl="1" w:tplc="60D8CB0A" w:tentative="1">
      <w:start w:val="1"/>
      <w:numFmt w:val="bullet"/>
      <w:lvlText w:val="•"/>
      <w:lvlJc w:val="left"/>
      <w:pPr>
        <w:tabs>
          <w:tab w:val="num" w:pos="1440"/>
        </w:tabs>
        <w:ind w:left="1440" w:hanging="360"/>
      </w:pPr>
      <w:rPr>
        <w:rFonts w:ascii="Arial" w:hAnsi="Arial" w:hint="default"/>
      </w:rPr>
    </w:lvl>
    <w:lvl w:ilvl="2" w:tplc="E7925F38" w:tentative="1">
      <w:start w:val="1"/>
      <w:numFmt w:val="bullet"/>
      <w:lvlText w:val="•"/>
      <w:lvlJc w:val="left"/>
      <w:pPr>
        <w:tabs>
          <w:tab w:val="num" w:pos="2160"/>
        </w:tabs>
        <w:ind w:left="2160" w:hanging="360"/>
      </w:pPr>
      <w:rPr>
        <w:rFonts w:ascii="Arial" w:hAnsi="Arial" w:hint="default"/>
      </w:rPr>
    </w:lvl>
    <w:lvl w:ilvl="3" w:tplc="7C7AE7CA" w:tentative="1">
      <w:start w:val="1"/>
      <w:numFmt w:val="bullet"/>
      <w:lvlText w:val="•"/>
      <w:lvlJc w:val="left"/>
      <w:pPr>
        <w:tabs>
          <w:tab w:val="num" w:pos="2880"/>
        </w:tabs>
        <w:ind w:left="2880" w:hanging="360"/>
      </w:pPr>
      <w:rPr>
        <w:rFonts w:ascii="Arial" w:hAnsi="Arial" w:hint="default"/>
      </w:rPr>
    </w:lvl>
    <w:lvl w:ilvl="4" w:tplc="C6CAD8D2" w:tentative="1">
      <w:start w:val="1"/>
      <w:numFmt w:val="bullet"/>
      <w:lvlText w:val="•"/>
      <w:lvlJc w:val="left"/>
      <w:pPr>
        <w:tabs>
          <w:tab w:val="num" w:pos="3600"/>
        </w:tabs>
        <w:ind w:left="3600" w:hanging="360"/>
      </w:pPr>
      <w:rPr>
        <w:rFonts w:ascii="Arial" w:hAnsi="Arial" w:hint="default"/>
      </w:rPr>
    </w:lvl>
    <w:lvl w:ilvl="5" w:tplc="8760058C" w:tentative="1">
      <w:start w:val="1"/>
      <w:numFmt w:val="bullet"/>
      <w:lvlText w:val="•"/>
      <w:lvlJc w:val="left"/>
      <w:pPr>
        <w:tabs>
          <w:tab w:val="num" w:pos="4320"/>
        </w:tabs>
        <w:ind w:left="4320" w:hanging="360"/>
      </w:pPr>
      <w:rPr>
        <w:rFonts w:ascii="Arial" w:hAnsi="Arial" w:hint="default"/>
      </w:rPr>
    </w:lvl>
    <w:lvl w:ilvl="6" w:tplc="2B36FE50" w:tentative="1">
      <w:start w:val="1"/>
      <w:numFmt w:val="bullet"/>
      <w:lvlText w:val="•"/>
      <w:lvlJc w:val="left"/>
      <w:pPr>
        <w:tabs>
          <w:tab w:val="num" w:pos="5040"/>
        </w:tabs>
        <w:ind w:left="5040" w:hanging="360"/>
      </w:pPr>
      <w:rPr>
        <w:rFonts w:ascii="Arial" w:hAnsi="Arial" w:hint="default"/>
      </w:rPr>
    </w:lvl>
    <w:lvl w:ilvl="7" w:tplc="CC880AA6" w:tentative="1">
      <w:start w:val="1"/>
      <w:numFmt w:val="bullet"/>
      <w:lvlText w:val="•"/>
      <w:lvlJc w:val="left"/>
      <w:pPr>
        <w:tabs>
          <w:tab w:val="num" w:pos="5760"/>
        </w:tabs>
        <w:ind w:left="5760" w:hanging="360"/>
      </w:pPr>
      <w:rPr>
        <w:rFonts w:ascii="Arial" w:hAnsi="Arial" w:hint="default"/>
      </w:rPr>
    </w:lvl>
    <w:lvl w:ilvl="8" w:tplc="BCC41BD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D82CB1"/>
    <w:multiLevelType w:val="hybridMultilevel"/>
    <w:tmpl w:val="3D42926C"/>
    <w:lvl w:ilvl="0" w:tplc="08090001">
      <w:start w:val="1"/>
      <w:numFmt w:val="bullet"/>
      <w:lvlText w:val=""/>
      <w:lvlJc w:val="left"/>
      <w:pPr>
        <w:ind w:left="720" w:hanging="360"/>
      </w:pPr>
      <w:rPr>
        <w:rFonts w:ascii="Symbol" w:hAnsi="Symbol" w:hint="default"/>
      </w:rPr>
    </w:lvl>
    <w:lvl w:ilvl="1" w:tplc="F9F4CC4E" w:tentative="1">
      <w:start w:val="1"/>
      <w:numFmt w:val="bullet"/>
      <w:lvlText w:val="•"/>
      <w:lvlJc w:val="left"/>
      <w:pPr>
        <w:tabs>
          <w:tab w:val="num" w:pos="1440"/>
        </w:tabs>
        <w:ind w:left="1440" w:hanging="360"/>
      </w:pPr>
      <w:rPr>
        <w:rFonts w:ascii="Arial" w:hAnsi="Arial" w:hint="default"/>
      </w:rPr>
    </w:lvl>
    <w:lvl w:ilvl="2" w:tplc="4FE8D7CE" w:tentative="1">
      <w:start w:val="1"/>
      <w:numFmt w:val="bullet"/>
      <w:lvlText w:val="•"/>
      <w:lvlJc w:val="left"/>
      <w:pPr>
        <w:tabs>
          <w:tab w:val="num" w:pos="2160"/>
        </w:tabs>
        <w:ind w:left="2160" w:hanging="360"/>
      </w:pPr>
      <w:rPr>
        <w:rFonts w:ascii="Arial" w:hAnsi="Arial" w:hint="default"/>
      </w:rPr>
    </w:lvl>
    <w:lvl w:ilvl="3" w:tplc="B1800B42" w:tentative="1">
      <w:start w:val="1"/>
      <w:numFmt w:val="bullet"/>
      <w:lvlText w:val="•"/>
      <w:lvlJc w:val="left"/>
      <w:pPr>
        <w:tabs>
          <w:tab w:val="num" w:pos="2880"/>
        </w:tabs>
        <w:ind w:left="2880" w:hanging="360"/>
      </w:pPr>
      <w:rPr>
        <w:rFonts w:ascii="Arial" w:hAnsi="Arial" w:hint="default"/>
      </w:rPr>
    </w:lvl>
    <w:lvl w:ilvl="4" w:tplc="3AD439B6" w:tentative="1">
      <w:start w:val="1"/>
      <w:numFmt w:val="bullet"/>
      <w:lvlText w:val="•"/>
      <w:lvlJc w:val="left"/>
      <w:pPr>
        <w:tabs>
          <w:tab w:val="num" w:pos="3600"/>
        </w:tabs>
        <w:ind w:left="3600" w:hanging="360"/>
      </w:pPr>
      <w:rPr>
        <w:rFonts w:ascii="Arial" w:hAnsi="Arial" w:hint="default"/>
      </w:rPr>
    </w:lvl>
    <w:lvl w:ilvl="5" w:tplc="8C1EBE02" w:tentative="1">
      <w:start w:val="1"/>
      <w:numFmt w:val="bullet"/>
      <w:lvlText w:val="•"/>
      <w:lvlJc w:val="left"/>
      <w:pPr>
        <w:tabs>
          <w:tab w:val="num" w:pos="4320"/>
        </w:tabs>
        <w:ind w:left="4320" w:hanging="360"/>
      </w:pPr>
      <w:rPr>
        <w:rFonts w:ascii="Arial" w:hAnsi="Arial" w:hint="default"/>
      </w:rPr>
    </w:lvl>
    <w:lvl w:ilvl="6" w:tplc="EA3CB946" w:tentative="1">
      <w:start w:val="1"/>
      <w:numFmt w:val="bullet"/>
      <w:lvlText w:val="•"/>
      <w:lvlJc w:val="left"/>
      <w:pPr>
        <w:tabs>
          <w:tab w:val="num" w:pos="5040"/>
        </w:tabs>
        <w:ind w:left="5040" w:hanging="360"/>
      </w:pPr>
      <w:rPr>
        <w:rFonts w:ascii="Arial" w:hAnsi="Arial" w:hint="default"/>
      </w:rPr>
    </w:lvl>
    <w:lvl w:ilvl="7" w:tplc="4E044B5E" w:tentative="1">
      <w:start w:val="1"/>
      <w:numFmt w:val="bullet"/>
      <w:lvlText w:val="•"/>
      <w:lvlJc w:val="left"/>
      <w:pPr>
        <w:tabs>
          <w:tab w:val="num" w:pos="5760"/>
        </w:tabs>
        <w:ind w:left="5760" w:hanging="360"/>
      </w:pPr>
      <w:rPr>
        <w:rFonts w:ascii="Arial" w:hAnsi="Arial" w:hint="default"/>
      </w:rPr>
    </w:lvl>
    <w:lvl w:ilvl="8" w:tplc="DE54E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93A06"/>
    <w:multiLevelType w:val="hybridMultilevel"/>
    <w:tmpl w:val="79C88018"/>
    <w:lvl w:ilvl="0" w:tplc="8BDAC608">
      <w:start w:val="1"/>
      <w:numFmt w:val="bullet"/>
      <w:lvlText w:val="•"/>
      <w:lvlJc w:val="left"/>
      <w:pPr>
        <w:tabs>
          <w:tab w:val="num" w:pos="720"/>
        </w:tabs>
        <w:ind w:left="720" w:hanging="360"/>
      </w:pPr>
      <w:rPr>
        <w:rFonts w:ascii="Arial" w:hAnsi="Arial" w:hint="default"/>
      </w:rPr>
    </w:lvl>
    <w:lvl w:ilvl="1" w:tplc="D1A8B538">
      <w:start w:val="1"/>
      <w:numFmt w:val="bullet"/>
      <w:lvlText w:val="•"/>
      <w:lvlJc w:val="left"/>
      <w:pPr>
        <w:tabs>
          <w:tab w:val="num" w:pos="1440"/>
        </w:tabs>
        <w:ind w:left="1440" w:hanging="360"/>
      </w:pPr>
      <w:rPr>
        <w:rFonts w:ascii="Arial" w:hAnsi="Arial" w:hint="default"/>
      </w:rPr>
    </w:lvl>
    <w:lvl w:ilvl="2" w:tplc="C9C8AEAE" w:tentative="1">
      <w:start w:val="1"/>
      <w:numFmt w:val="bullet"/>
      <w:lvlText w:val="•"/>
      <w:lvlJc w:val="left"/>
      <w:pPr>
        <w:tabs>
          <w:tab w:val="num" w:pos="2160"/>
        </w:tabs>
        <w:ind w:left="2160" w:hanging="360"/>
      </w:pPr>
      <w:rPr>
        <w:rFonts w:ascii="Arial" w:hAnsi="Arial" w:hint="default"/>
      </w:rPr>
    </w:lvl>
    <w:lvl w:ilvl="3" w:tplc="C1BA8D76" w:tentative="1">
      <w:start w:val="1"/>
      <w:numFmt w:val="bullet"/>
      <w:lvlText w:val="•"/>
      <w:lvlJc w:val="left"/>
      <w:pPr>
        <w:tabs>
          <w:tab w:val="num" w:pos="2880"/>
        </w:tabs>
        <w:ind w:left="2880" w:hanging="360"/>
      </w:pPr>
      <w:rPr>
        <w:rFonts w:ascii="Arial" w:hAnsi="Arial" w:hint="default"/>
      </w:rPr>
    </w:lvl>
    <w:lvl w:ilvl="4" w:tplc="61CE9888" w:tentative="1">
      <w:start w:val="1"/>
      <w:numFmt w:val="bullet"/>
      <w:lvlText w:val="•"/>
      <w:lvlJc w:val="left"/>
      <w:pPr>
        <w:tabs>
          <w:tab w:val="num" w:pos="3600"/>
        </w:tabs>
        <w:ind w:left="3600" w:hanging="360"/>
      </w:pPr>
      <w:rPr>
        <w:rFonts w:ascii="Arial" w:hAnsi="Arial" w:hint="default"/>
      </w:rPr>
    </w:lvl>
    <w:lvl w:ilvl="5" w:tplc="18F6DE04" w:tentative="1">
      <w:start w:val="1"/>
      <w:numFmt w:val="bullet"/>
      <w:lvlText w:val="•"/>
      <w:lvlJc w:val="left"/>
      <w:pPr>
        <w:tabs>
          <w:tab w:val="num" w:pos="4320"/>
        </w:tabs>
        <w:ind w:left="4320" w:hanging="360"/>
      </w:pPr>
      <w:rPr>
        <w:rFonts w:ascii="Arial" w:hAnsi="Arial" w:hint="default"/>
      </w:rPr>
    </w:lvl>
    <w:lvl w:ilvl="6" w:tplc="B9A48094" w:tentative="1">
      <w:start w:val="1"/>
      <w:numFmt w:val="bullet"/>
      <w:lvlText w:val="•"/>
      <w:lvlJc w:val="left"/>
      <w:pPr>
        <w:tabs>
          <w:tab w:val="num" w:pos="5040"/>
        </w:tabs>
        <w:ind w:left="5040" w:hanging="360"/>
      </w:pPr>
      <w:rPr>
        <w:rFonts w:ascii="Arial" w:hAnsi="Arial" w:hint="default"/>
      </w:rPr>
    </w:lvl>
    <w:lvl w:ilvl="7" w:tplc="2848BDEE" w:tentative="1">
      <w:start w:val="1"/>
      <w:numFmt w:val="bullet"/>
      <w:lvlText w:val="•"/>
      <w:lvlJc w:val="left"/>
      <w:pPr>
        <w:tabs>
          <w:tab w:val="num" w:pos="5760"/>
        </w:tabs>
        <w:ind w:left="5760" w:hanging="360"/>
      </w:pPr>
      <w:rPr>
        <w:rFonts w:ascii="Arial" w:hAnsi="Arial" w:hint="default"/>
      </w:rPr>
    </w:lvl>
    <w:lvl w:ilvl="8" w:tplc="E8A47C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1"/>
  </w:num>
  <w:num w:numId="3">
    <w:abstractNumId w:val="15"/>
  </w:num>
  <w:num w:numId="4">
    <w:abstractNumId w:val="17"/>
  </w:num>
  <w:num w:numId="5">
    <w:abstractNumId w:val="11"/>
  </w:num>
  <w:num w:numId="6">
    <w:abstractNumId w:val="20"/>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7"/>
  </w:num>
  <w:num w:numId="17">
    <w:abstractNumId w:val="7"/>
  </w:num>
  <w:num w:numId="18">
    <w:abstractNumId w:val="8"/>
  </w:num>
  <w:num w:numId="19">
    <w:abstractNumId w:val="5"/>
  </w:num>
  <w:num w:numId="20">
    <w:abstractNumId w:val="32"/>
  </w:num>
  <w:num w:numId="21">
    <w:abstractNumId w:val="14"/>
  </w:num>
  <w:num w:numId="22">
    <w:abstractNumId w:val="29"/>
  </w:num>
  <w:num w:numId="23">
    <w:abstractNumId w:val="6"/>
  </w:num>
  <w:num w:numId="24">
    <w:abstractNumId w:val="18"/>
  </w:num>
  <w:num w:numId="25">
    <w:abstractNumId w:val="9"/>
  </w:num>
  <w:num w:numId="26">
    <w:abstractNumId w:val="26"/>
  </w:num>
  <w:num w:numId="27">
    <w:abstractNumId w:val="28"/>
  </w:num>
  <w:num w:numId="28">
    <w:abstractNumId w:val="13"/>
  </w:num>
  <w:num w:numId="29">
    <w:abstractNumId w:val="30"/>
  </w:num>
  <w:num w:numId="30">
    <w:abstractNumId w:val="31"/>
  </w:num>
  <w:num w:numId="31">
    <w:abstractNumId w:val="3"/>
  </w:num>
  <w:num w:numId="32">
    <w:abstractNumId w:val="25"/>
  </w:num>
  <w:num w:numId="33">
    <w:abstractNumId w:val="16"/>
  </w:num>
  <w:num w:numId="34">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FF9"/>
    <w:rsid w:val="000006E1"/>
    <w:rsid w:val="00001499"/>
    <w:rsid w:val="00002A37"/>
    <w:rsid w:val="0000311B"/>
    <w:rsid w:val="000038E9"/>
    <w:rsid w:val="000049AD"/>
    <w:rsid w:val="0000564C"/>
    <w:rsid w:val="00006446"/>
    <w:rsid w:val="00006896"/>
    <w:rsid w:val="00007CDC"/>
    <w:rsid w:val="00010AA3"/>
    <w:rsid w:val="00011353"/>
    <w:rsid w:val="00011A7C"/>
    <w:rsid w:val="00011B28"/>
    <w:rsid w:val="00012A22"/>
    <w:rsid w:val="00014FBB"/>
    <w:rsid w:val="00015D15"/>
    <w:rsid w:val="0002168D"/>
    <w:rsid w:val="00024A4E"/>
    <w:rsid w:val="000251D0"/>
    <w:rsid w:val="0002564D"/>
    <w:rsid w:val="00025ECA"/>
    <w:rsid w:val="00025FE1"/>
    <w:rsid w:val="0003037E"/>
    <w:rsid w:val="000317AA"/>
    <w:rsid w:val="000325B8"/>
    <w:rsid w:val="00032DE6"/>
    <w:rsid w:val="00033393"/>
    <w:rsid w:val="00034C15"/>
    <w:rsid w:val="00036BA1"/>
    <w:rsid w:val="000408D4"/>
    <w:rsid w:val="000422E2"/>
    <w:rsid w:val="00042F22"/>
    <w:rsid w:val="000444EF"/>
    <w:rsid w:val="00052A07"/>
    <w:rsid w:val="000534E3"/>
    <w:rsid w:val="0005606A"/>
    <w:rsid w:val="00057117"/>
    <w:rsid w:val="000614C2"/>
    <w:rsid w:val="000616E7"/>
    <w:rsid w:val="0006487E"/>
    <w:rsid w:val="00065E1A"/>
    <w:rsid w:val="00073032"/>
    <w:rsid w:val="0007415C"/>
    <w:rsid w:val="00074C07"/>
    <w:rsid w:val="00077E5F"/>
    <w:rsid w:val="0008036A"/>
    <w:rsid w:val="00081AE6"/>
    <w:rsid w:val="000855EB"/>
    <w:rsid w:val="00085B52"/>
    <w:rsid w:val="000866F2"/>
    <w:rsid w:val="0009009F"/>
    <w:rsid w:val="00091557"/>
    <w:rsid w:val="000924C1"/>
    <w:rsid w:val="000924F0"/>
    <w:rsid w:val="00092BDB"/>
    <w:rsid w:val="00093474"/>
    <w:rsid w:val="000936DD"/>
    <w:rsid w:val="00094846"/>
    <w:rsid w:val="0009510F"/>
    <w:rsid w:val="00095FA6"/>
    <w:rsid w:val="000A1B7B"/>
    <w:rsid w:val="000A2D76"/>
    <w:rsid w:val="000A56F2"/>
    <w:rsid w:val="000A7804"/>
    <w:rsid w:val="000B0CF0"/>
    <w:rsid w:val="000B2719"/>
    <w:rsid w:val="000B3A8F"/>
    <w:rsid w:val="000B4AB9"/>
    <w:rsid w:val="000B58C3"/>
    <w:rsid w:val="000B61E9"/>
    <w:rsid w:val="000C0E14"/>
    <w:rsid w:val="000C13DC"/>
    <w:rsid w:val="000C165A"/>
    <w:rsid w:val="000C2E19"/>
    <w:rsid w:val="000D0D07"/>
    <w:rsid w:val="000D1426"/>
    <w:rsid w:val="000D26CF"/>
    <w:rsid w:val="000D4797"/>
    <w:rsid w:val="000E0527"/>
    <w:rsid w:val="000E1E92"/>
    <w:rsid w:val="000E3397"/>
    <w:rsid w:val="000F06D6"/>
    <w:rsid w:val="000F0EB1"/>
    <w:rsid w:val="000F1106"/>
    <w:rsid w:val="000F3BE9"/>
    <w:rsid w:val="000F3F6C"/>
    <w:rsid w:val="000F5FDD"/>
    <w:rsid w:val="000F6DF3"/>
    <w:rsid w:val="001005FF"/>
    <w:rsid w:val="0010194A"/>
    <w:rsid w:val="001062FB"/>
    <w:rsid w:val="001063E6"/>
    <w:rsid w:val="00106660"/>
    <w:rsid w:val="00107ED3"/>
    <w:rsid w:val="00113CF4"/>
    <w:rsid w:val="001153EA"/>
    <w:rsid w:val="00115643"/>
    <w:rsid w:val="00116765"/>
    <w:rsid w:val="001219F5"/>
    <w:rsid w:val="00121A20"/>
    <w:rsid w:val="0012377F"/>
    <w:rsid w:val="00124314"/>
    <w:rsid w:val="001250B9"/>
    <w:rsid w:val="00126B4A"/>
    <w:rsid w:val="0012776A"/>
    <w:rsid w:val="00132FD0"/>
    <w:rsid w:val="00133939"/>
    <w:rsid w:val="001344C0"/>
    <w:rsid w:val="001346FA"/>
    <w:rsid w:val="00135252"/>
    <w:rsid w:val="00135E5F"/>
    <w:rsid w:val="00137AB5"/>
    <w:rsid w:val="00137F0B"/>
    <w:rsid w:val="00141A3E"/>
    <w:rsid w:val="0014445C"/>
    <w:rsid w:val="00151675"/>
    <w:rsid w:val="00151E23"/>
    <w:rsid w:val="001524A9"/>
    <w:rsid w:val="001526E0"/>
    <w:rsid w:val="00153F30"/>
    <w:rsid w:val="001551B5"/>
    <w:rsid w:val="001560C6"/>
    <w:rsid w:val="00156888"/>
    <w:rsid w:val="00157C7A"/>
    <w:rsid w:val="001611EA"/>
    <w:rsid w:val="0016254A"/>
    <w:rsid w:val="001659C1"/>
    <w:rsid w:val="00171B72"/>
    <w:rsid w:val="00173A8E"/>
    <w:rsid w:val="0017502C"/>
    <w:rsid w:val="00176A8F"/>
    <w:rsid w:val="00177EB9"/>
    <w:rsid w:val="0018143F"/>
    <w:rsid w:val="00181FF8"/>
    <w:rsid w:val="00190315"/>
    <w:rsid w:val="00190AC1"/>
    <w:rsid w:val="0019309D"/>
    <w:rsid w:val="0019341A"/>
    <w:rsid w:val="001968ED"/>
    <w:rsid w:val="00197DF9"/>
    <w:rsid w:val="001A1987"/>
    <w:rsid w:val="001A2564"/>
    <w:rsid w:val="001A57B4"/>
    <w:rsid w:val="001A6173"/>
    <w:rsid w:val="001A6CBA"/>
    <w:rsid w:val="001B054D"/>
    <w:rsid w:val="001B0D97"/>
    <w:rsid w:val="001B1CD4"/>
    <w:rsid w:val="001B2AB9"/>
    <w:rsid w:val="001B36A3"/>
    <w:rsid w:val="001B5A5D"/>
    <w:rsid w:val="001C1CE5"/>
    <w:rsid w:val="001C3D2A"/>
    <w:rsid w:val="001D133B"/>
    <w:rsid w:val="001D1785"/>
    <w:rsid w:val="001D51BA"/>
    <w:rsid w:val="001D53E7"/>
    <w:rsid w:val="001D6342"/>
    <w:rsid w:val="001D6D53"/>
    <w:rsid w:val="001E58E2"/>
    <w:rsid w:val="001E5A02"/>
    <w:rsid w:val="001E7AED"/>
    <w:rsid w:val="001F2090"/>
    <w:rsid w:val="001F3916"/>
    <w:rsid w:val="001F4A7E"/>
    <w:rsid w:val="001F4B49"/>
    <w:rsid w:val="001F54C5"/>
    <w:rsid w:val="001F662C"/>
    <w:rsid w:val="001F7041"/>
    <w:rsid w:val="001F7074"/>
    <w:rsid w:val="001F78BA"/>
    <w:rsid w:val="0020023A"/>
    <w:rsid w:val="00200490"/>
    <w:rsid w:val="00200DF4"/>
    <w:rsid w:val="00201F3A"/>
    <w:rsid w:val="00203F96"/>
    <w:rsid w:val="00205415"/>
    <w:rsid w:val="00205EE3"/>
    <w:rsid w:val="002069B2"/>
    <w:rsid w:val="00207B90"/>
    <w:rsid w:val="00207FA3"/>
    <w:rsid w:val="002117B1"/>
    <w:rsid w:val="00211CD9"/>
    <w:rsid w:val="00212B6F"/>
    <w:rsid w:val="00214DA8"/>
    <w:rsid w:val="00215423"/>
    <w:rsid w:val="002158FA"/>
    <w:rsid w:val="002176D7"/>
    <w:rsid w:val="00220600"/>
    <w:rsid w:val="00220827"/>
    <w:rsid w:val="002224DB"/>
    <w:rsid w:val="00223FCB"/>
    <w:rsid w:val="00224884"/>
    <w:rsid w:val="002252C3"/>
    <w:rsid w:val="00225964"/>
    <w:rsid w:val="00225C54"/>
    <w:rsid w:val="00230765"/>
    <w:rsid w:val="00230D18"/>
    <w:rsid w:val="00231223"/>
    <w:rsid w:val="002319E4"/>
    <w:rsid w:val="00235632"/>
    <w:rsid w:val="00235872"/>
    <w:rsid w:val="00236AFA"/>
    <w:rsid w:val="00241559"/>
    <w:rsid w:val="002420AE"/>
    <w:rsid w:val="002435B3"/>
    <w:rsid w:val="002458EB"/>
    <w:rsid w:val="002500C8"/>
    <w:rsid w:val="00257543"/>
    <w:rsid w:val="002617E7"/>
    <w:rsid w:val="00264228"/>
    <w:rsid w:val="00264334"/>
    <w:rsid w:val="0026473E"/>
    <w:rsid w:val="002654B7"/>
    <w:rsid w:val="00266214"/>
    <w:rsid w:val="00266E42"/>
    <w:rsid w:val="00267C83"/>
    <w:rsid w:val="0027144F"/>
    <w:rsid w:val="00271813"/>
    <w:rsid w:val="00271F3A"/>
    <w:rsid w:val="00273278"/>
    <w:rsid w:val="002737F4"/>
    <w:rsid w:val="00274084"/>
    <w:rsid w:val="0027711A"/>
    <w:rsid w:val="002805F5"/>
    <w:rsid w:val="00280751"/>
    <w:rsid w:val="00281173"/>
    <w:rsid w:val="0028280A"/>
    <w:rsid w:val="0028394A"/>
    <w:rsid w:val="00284018"/>
    <w:rsid w:val="0028603E"/>
    <w:rsid w:val="00286ACD"/>
    <w:rsid w:val="00287134"/>
    <w:rsid w:val="00287838"/>
    <w:rsid w:val="002907B5"/>
    <w:rsid w:val="00292B5D"/>
    <w:rsid w:val="00292EB7"/>
    <w:rsid w:val="00293B6C"/>
    <w:rsid w:val="00293BC4"/>
    <w:rsid w:val="00296227"/>
    <w:rsid w:val="00296F44"/>
    <w:rsid w:val="0029777D"/>
    <w:rsid w:val="00297E37"/>
    <w:rsid w:val="002A055E"/>
    <w:rsid w:val="002A1D4E"/>
    <w:rsid w:val="002A205A"/>
    <w:rsid w:val="002A2869"/>
    <w:rsid w:val="002A3947"/>
    <w:rsid w:val="002A5147"/>
    <w:rsid w:val="002A6428"/>
    <w:rsid w:val="002B24D6"/>
    <w:rsid w:val="002B7F6A"/>
    <w:rsid w:val="002C41E6"/>
    <w:rsid w:val="002C6D79"/>
    <w:rsid w:val="002C7FE5"/>
    <w:rsid w:val="002D071A"/>
    <w:rsid w:val="002D34B2"/>
    <w:rsid w:val="002D48B0"/>
    <w:rsid w:val="002D54C3"/>
    <w:rsid w:val="002D5B37"/>
    <w:rsid w:val="002D698C"/>
    <w:rsid w:val="002D7637"/>
    <w:rsid w:val="002E003C"/>
    <w:rsid w:val="002E17F2"/>
    <w:rsid w:val="002E231E"/>
    <w:rsid w:val="002E6518"/>
    <w:rsid w:val="002E7A65"/>
    <w:rsid w:val="002E7CAE"/>
    <w:rsid w:val="002F13E4"/>
    <w:rsid w:val="002F196F"/>
    <w:rsid w:val="002F2090"/>
    <w:rsid w:val="002F2771"/>
    <w:rsid w:val="002F37A9"/>
    <w:rsid w:val="00301CE6"/>
    <w:rsid w:val="0030256B"/>
    <w:rsid w:val="0030501F"/>
    <w:rsid w:val="00307BA1"/>
    <w:rsid w:val="00311702"/>
    <w:rsid w:val="00311E82"/>
    <w:rsid w:val="00312793"/>
    <w:rsid w:val="00312A55"/>
    <w:rsid w:val="00313FD6"/>
    <w:rsid w:val="003143BD"/>
    <w:rsid w:val="00315363"/>
    <w:rsid w:val="0031604C"/>
    <w:rsid w:val="0031773F"/>
    <w:rsid w:val="003203ED"/>
    <w:rsid w:val="0032176E"/>
    <w:rsid w:val="00322C9F"/>
    <w:rsid w:val="003236FD"/>
    <w:rsid w:val="00324D23"/>
    <w:rsid w:val="00325755"/>
    <w:rsid w:val="00327ECE"/>
    <w:rsid w:val="00331751"/>
    <w:rsid w:val="00334579"/>
    <w:rsid w:val="00334CF1"/>
    <w:rsid w:val="00335858"/>
    <w:rsid w:val="00336BDA"/>
    <w:rsid w:val="00342BD7"/>
    <w:rsid w:val="0034392B"/>
    <w:rsid w:val="00346DB5"/>
    <w:rsid w:val="003477B1"/>
    <w:rsid w:val="0035164C"/>
    <w:rsid w:val="00357380"/>
    <w:rsid w:val="00357A43"/>
    <w:rsid w:val="003602D9"/>
    <w:rsid w:val="003604CE"/>
    <w:rsid w:val="003610E1"/>
    <w:rsid w:val="003620FC"/>
    <w:rsid w:val="00365842"/>
    <w:rsid w:val="0036618B"/>
    <w:rsid w:val="00370E47"/>
    <w:rsid w:val="003715B2"/>
    <w:rsid w:val="00371664"/>
    <w:rsid w:val="00371B4C"/>
    <w:rsid w:val="003723ED"/>
    <w:rsid w:val="0037261B"/>
    <w:rsid w:val="003742AC"/>
    <w:rsid w:val="00377CE1"/>
    <w:rsid w:val="00385BB4"/>
    <w:rsid w:val="00385BF0"/>
    <w:rsid w:val="00390835"/>
    <w:rsid w:val="0039189F"/>
    <w:rsid w:val="003939FF"/>
    <w:rsid w:val="00397FFE"/>
    <w:rsid w:val="003A2223"/>
    <w:rsid w:val="003A2A0F"/>
    <w:rsid w:val="003A45A1"/>
    <w:rsid w:val="003A5306"/>
    <w:rsid w:val="003A5B0A"/>
    <w:rsid w:val="003A6109"/>
    <w:rsid w:val="003A6BAC"/>
    <w:rsid w:val="003A6E25"/>
    <w:rsid w:val="003A70A4"/>
    <w:rsid w:val="003A7EF3"/>
    <w:rsid w:val="003B159C"/>
    <w:rsid w:val="003B2A06"/>
    <w:rsid w:val="003B369F"/>
    <w:rsid w:val="003B36A3"/>
    <w:rsid w:val="003B46DD"/>
    <w:rsid w:val="003B64BB"/>
    <w:rsid w:val="003B6634"/>
    <w:rsid w:val="003B7FE5"/>
    <w:rsid w:val="003C025B"/>
    <w:rsid w:val="003C11C8"/>
    <w:rsid w:val="003C2702"/>
    <w:rsid w:val="003C3131"/>
    <w:rsid w:val="003C767D"/>
    <w:rsid w:val="003C7806"/>
    <w:rsid w:val="003C7C7B"/>
    <w:rsid w:val="003C7F10"/>
    <w:rsid w:val="003D109F"/>
    <w:rsid w:val="003D14F0"/>
    <w:rsid w:val="003D2478"/>
    <w:rsid w:val="003D3C45"/>
    <w:rsid w:val="003D5B1F"/>
    <w:rsid w:val="003D7BF8"/>
    <w:rsid w:val="003E06E3"/>
    <w:rsid w:val="003E15FA"/>
    <w:rsid w:val="003E1F70"/>
    <w:rsid w:val="003E55E4"/>
    <w:rsid w:val="003E74E3"/>
    <w:rsid w:val="003F05C7"/>
    <w:rsid w:val="003F2296"/>
    <w:rsid w:val="003F2867"/>
    <w:rsid w:val="003F2CD4"/>
    <w:rsid w:val="003F6658"/>
    <w:rsid w:val="003F6BBE"/>
    <w:rsid w:val="004000E8"/>
    <w:rsid w:val="00401352"/>
    <w:rsid w:val="004014B2"/>
    <w:rsid w:val="00401E5D"/>
    <w:rsid w:val="00402E2B"/>
    <w:rsid w:val="00403822"/>
    <w:rsid w:val="0040512B"/>
    <w:rsid w:val="00405CA5"/>
    <w:rsid w:val="004068C8"/>
    <w:rsid w:val="00407CD3"/>
    <w:rsid w:val="00410134"/>
    <w:rsid w:val="004108B0"/>
    <w:rsid w:val="00410B72"/>
    <w:rsid w:val="00410F18"/>
    <w:rsid w:val="0041117F"/>
    <w:rsid w:val="0041139E"/>
    <w:rsid w:val="0041263E"/>
    <w:rsid w:val="00413AAC"/>
    <w:rsid w:val="00413E92"/>
    <w:rsid w:val="004155C7"/>
    <w:rsid w:val="00416367"/>
    <w:rsid w:val="004201D8"/>
    <w:rsid w:val="00421105"/>
    <w:rsid w:val="00422AA4"/>
    <w:rsid w:val="004242D2"/>
    <w:rsid w:val="004242F4"/>
    <w:rsid w:val="00425A9A"/>
    <w:rsid w:val="00427248"/>
    <w:rsid w:val="00433952"/>
    <w:rsid w:val="0043453D"/>
    <w:rsid w:val="00437447"/>
    <w:rsid w:val="00440284"/>
    <w:rsid w:val="004402DD"/>
    <w:rsid w:val="00441A92"/>
    <w:rsid w:val="00442C02"/>
    <w:rsid w:val="004431DC"/>
    <w:rsid w:val="00444F56"/>
    <w:rsid w:val="00446488"/>
    <w:rsid w:val="00451339"/>
    <w:rsid w:val="004517AA"/>
    <w:rsid w:val="00452CAC"/>
    <w:rsid w:val="004540FA"/>
    <w:rsid w:val="00457565"/>
    <w:rsid w:val="00457B71"/>
    <w:rsid w:val="004606CD"/>
    <w:rsid w:val="00463792"/>
    <w:rsid w:val="00464689"/>
    <w:rsid w:val="004669E2"/>
    <w:rsid w:val="004701D9"/>
    <w:rsid w:val="00470C31"/>
    <w:rsid w:val="004719CB"/>
    <w:rsid w:val="00471DE0"/>
    <w:rsid w:val="0047242A"/>
    <w:rsid w:val="004734D0"/>
    <w:rsid w:val="00474D49"/>
    <w:rsid w:val="00475533"/>
    <w:rsid w:val="0047556B"/>
    <w:rsid w:val="004757E6"/>
    <w:rsid w:val="00477768"/>
    <w:rsid w:val="004807A5"/>
    <w:rsid w:val="00483CA1"/>
    <w:rsid w:val="00486599"/>
    <w:rsid w:val="0048676E"/>
    <w:rsid w:val="00487891"/>
    <w:rsid w:val="00487BE7"/>
    <w:rsid w:val="00491508"/>
    <w:rsid w:val="00492BC5"/>
    <w:rsid w:val="00493A57"/>
    <w:rsid w:val="00494CCA"/>
    <w:rsid w:val="00495708"/>
    <w:rsid w:val="00495831"/>
    <w:rsid w:val="004964F1"/>
    <w:rsid w:val="004A16BC"/>
    <w:rsid w:val="004A2B94"/>
    <w:rsid w:val="004A4371"/>
    <w:rsid w:val="004B6F6A"/>
    <w:rsid w:val="004B7C0C"/>
    <w:rsid w:val="004C3898"/>
    <w:rsid w:val="004C4FFE"/>
    <w:rsid w:val="004C586A"/>
    <w:rsid w:val="004D166B"/>
    <w:rsid w:val="004D1E3F"/>
    <w:rsid w:val="004D250B"/>
    <w:rsid w:val="004D36B1"/>
    <w:rsid w:val="004D3AAD"/>
    <w:rsid w:val="004D55D5"/>
    <w:rsid w:val="004D5D9F"/>
    <w:rsid w:val="004D6478"/>
    <w:rsid w:val="004D74BA"/>
    <w:rsid w:val="004D7EBD"/>
    <w:rsid w:val="004E2680"/>
    <w:rsid w:val="004E28F9"/>
    <w:rsid w:val="004E37D9"/>
    <w:rsid w:val="004E3B60"/>
    <w:rsid w:val="004E462E"/>
    <w:rsid w:val="004E56DC"/>
    <w:rsid w:val="004E6B72"/>
    <w:rsid w:val="004E76F4"/>
    <w:rsid w:val="004F0B4E"/>
    <w:rsid w:val="004F0B6C"/>
    <w:rsid w:val="004F2078"/>
    <w:rsid w:val="004F2CDF"/>
    <w:rsid w:val="004F4388"/>
    <w:rsid w:val="004F4DA3"/>
    <w:rsid w:val="004F5433"/>
    <w:rsid w:val="005033EE"/>
    <w:rsid w:val="005055DC"/>
    <w:rsid w:val="00506557"/>
    <w:rsid w:val="0050677A"/>
    <w:rsid w:val="0050741C"/>
    <w:rsid w:val="005108D8"/>
    <w:rsid w:val="005116F9"/>
    <w:rsid w:val="0051401F"/>
    <w:rsid w:val="005153A7"/>
    <w:rsid w:val="005219CF"/>
    <w:rsid w:val="00524601"/>
    <w:rsid w:val="00524AC6"/>
    <w:rsid w:val="00526BDD"/>
    <w:rsid w:val="00527B9A"/>
    <w:rsid w:val="00531E15"/>
    <w:rsid w:val="005326CF"/>
    <w:rsid w:val="00534B59"/>
    <w:rsid w:val="00536759"/>
    <w:rsid w:val="00536BC4"/>
    <w:rsid w:val="00536D0F"/>
    <w:rsid w:val="00537C62"/>
    <w:rsid w:val="00543A59"/>
    <w:rsid w:val="00544253"/>
    <w:rsid w:val="00546970"/>
    <w:rsid w:val="00546B02"/>
    <w:rsid w:val="00546EAA"/>
    <w:rsid w:val="0055417F"/>
    <w:rsid w:val="00554E19"/>
    <w:rsid w:val="00560B24"/>
    <w:rsid w:val="0056121F"/>
    <w:rsid w:val="005612AD"/>
    <w:rsid w:val="00565C4D"/>
    <w:rsid w:val="005661B4"/>
    <w:rsid w:val="005668A9"/>
    <w:rsid w:val="00567743"/>
    <w:rsid w:val="005714F8"/>
    <w:rsid w:val="00572505"/>
    <w:rsid w:val="00575366"/>
    <w:rsid w:val="00582220"/>
    <w:rsid w:val="00582809"/>
    <w:rsid w:val="00583811"/>
    <w:rsid w:val="005839C6"/>
    <w:rsid w:val="00584E85"/>
    <w:rsid w:val="0058798C"/>
    <w:rsid w:val="005900FA"/>
    <w:rsid w:val="00592DC0"/>
    <w:rsid w:val="00593029"/>
    <w:rsid w:val="005935A4"/>
    <w:rsid w:val="005948C2"/>
    <w:rsid w:val="00595DCA"/>
    <w:rsid w:val="0059779B"/>
    <w:rsid w:val="00597C5A"/>
    <w:rsid w:val="005A1CC7"/>
    <w:rsid w:val="005A209A"/>
    <w:rsid w:val="005A4CAF"/>
    <w:rsid w:val="005A662D"/>
    <w:rsid w:val="005B04F5"/>
    <w:rsid w:val="005B1409"/>
    <w:rsid w:val="005B35D7"/>
    <w:rsid w:val="005B392A"/>
    <w:rsid w:val="005B3AA3"/>
    <w:rsid w:val="005B6F83"/>
    <w:rsid w:val="005B72D9"/>
    <w:rsid w:val="005B7A4F"/>
    <w:rsid w:val="005C0B14"/>
    <w:rsid w:val="005C1A23"/>
    <w:rsid w:val="005C2824"/>
    <w:rsid w:val="005C714B"/>
    <w:rsid w:val="005C74FB"/>
    <w:rsid w:val="005C796A"/>
    <w:rsid w:val="005D1602"/>
    <w:rsid w:val="005D317E"/>
    <w:rsid w:val="005D4761"/>
    <w:rsid w:val="005D5AE2"/>
    <w:rsid w:val="005D5F7E"/>
    <w:rsid w:val="005E0814"/>
    <w:rsid w:val="005E0D65"/>
    <w:rsid w:val="005E3411"/>
    <w:rsid w:val="005E385F"/>
    <w:rsid w:val="005E3C4C"/>
    <w:rsid w:val="005E3F1E"/>
    <w:rsid w:val="005E4410"/>
    <w:rsid w:val="005E5B0C"/>
    <w:rsid w:val="005E5B81"/>
    <w:rsid w:val="005F2B5B"/>
    <w:rsid w:val="005F2CB1"/>
    <w:rsid w:val="005F3025"/>
    <w:rsid w:val="005F618C"/>
    <w:rsid w:val="005F70BD"/>
    <w:rsid w:val="00601BD5"/>
    <w:rsid w:val="00601DE4"/>
    <w:rsid w:val="0060283C"/>
    <w:rsid w:val="00604F14"/>
    <w:rsid w:val="00611B83"/>
    <w:rsid w:val="006120D2"/>
    <w:rsid w:val="00613257"/>
    <w:rsid w:val="00620075"/>
    <w:rsid w:val="00620A71"/>
    <w:rsid w:val="00620D80"/>
    <w:rsid w:val="006234A6"/>
    <w:rsid w:val="00623EC2"/>
    <w:rsid w:val="00626484"/>
    <w:rsid w:val="00630001"/>
    <w:rsid w:val="006311B3"/>
    <w:rsid w:val="0063284C"/>
    <w:rsid w:val="00636398"/>
    <w:rsid w:val="006368D3"/>
    <w:rsid w:val="006377EC"/>
    <w:rsid w:val="0064151F"/>
    <w:rsid w:val="00641533"/>
    <w:rsid w:val="0064208D"/>
    <w:rsid w:val="00643475"/>
    <w:rsid w:val="0064396A"/>
    <w:rsid w:val="0064624E"/>
    <w:rsid w:val="00646CE9"/>
    <w:rsid w:val="00650AB9"/>
    <w:rsid w:val="0065204A"/>
    <w:rsid w:val="00654785"/>
    <w:rsid w:val="00655733"/>
    <w:rsid w:val="00655ACD"/>
    <w:rsid w:val="00656985"/>
    <w:rsid w:val="00656A92"/>
    <w:rsid w:val="00656DDE"/>
    <w:rsid w:val="0066011D"/>
    <w:rsid w:val="006607C0"/>
    <w:rsid w:val="006613A6"/>
    <w:rsid w:val="006627A2"/>
    <w:rsid w:val="006634E6"/>
    <w:rsid w:val="006655EE"/>
    <w:rsid w:val="00667158"/>
    <w:rsid w:val="00667EE7"/>
    <w:rsid w:val="00670922"/>
    <w:rsid w:val="00670BE1"/>
    <w:rsid w:val="0067218F"/>
    <w:rsid w:val="006741F2"/>
    <w:rsid w:val="006745D4"/>
    <w:rsid w:val="006749FC"/>
    <w:rsid w:val="00674CC3"/>
    <w:rsid w:val="00675C72"/>
    <w:rsid w:val="00676AEE"/>
    <w:rsid w:val="006771F9"/>
    <w:rsid w:val="006776D7"/>
    <w:rsid w:val="00681003"/>
    <w:rsid w:val="006817C9"/>
    <w:rsid w:val="00683ECE"/>
    <w:rsid w:val="006872E6"/>
    <w:rsid w:val="00695FC2"/>
    <w:rsid w:val="00696949"/>
    <w:rsid w:val="00697052"/>
    <w:rsid w:val="006A46FB"/>
    <w:rsid w:val="006A5E28"/>
    <w:rsid w:val="006A697B"/>
    <w:rsid w:val="006A6CF1"/>
    <w:rsid w:val="006A7187"/>
    <w:rsid w:val="006A7AFF"/>
    <w:rsid w:val="006A7DF7"/>
    <w:rsid w:val="006B1816"/>
    <w:rsid w:val="006B2099"/>
    <w:rsid w:val="006B50CF"/>
    <w:rsid w:val="006B77A2"/>
    <w:rsid w:val="006C03B8"/>
    <w:rsid w:val="006C3C63"/>
    <w:rsid w:val="006C5EC9"/>
    <w:rsid w:val="006C6059"/>
    <w:rsid w:val="006C7522"/>
    <w:rsid w:val="006C783E"/>
    <w:rsid w:val="006D0205"/>
    <w:rsid w:val="006D6F08"/>
    <w:rsid w:val="006E062C"/>
    <w:rsid w:val="006E0A38"/>
    <w:rsid w:val="006E1C82"/>
    <w:rsid w:val="006E28B7"/>
    <w:rsid w:val="006E2A9B"/>
    <w:rsid w:val="006E2FD4"/>
    <w:rsid w:val="006E3310"/>
    <w:rsid w:val="006E3A73"/>
    <w:rsid w:val="006E4E39"/>
    <w:rsid w:val="006E565E"/>
    <w:rsid w:val="006E673D"/>
    <w:rsid w:val="006E74D6"/>
    <w:rsid w:val="006E7D3B"/>
    <w:rsid w:val="006F1B70"/>
    <w:rsid w:val="006F341D"/>
    <w:rsid w:val="006F3CDE"/>
    <w:rsid w:val="006F58D4"/>
    <w:rsid w:val="006F6138"/>
    <w:rsid w:val="006F6582"/>
    <w:rsid w:val="00700825"/>
    <w:rsid w:val="00700DB5"/>
    <w:rsid w:val="00702C85"/>
    <w:rsid w:val="00702F00"/>
    <w:rsid w:val="0070346E"/>
    <w:rsid w:val="00704D50"/>
    <w:rsid w:val="00704EDB"/>
    <w:rsid w:val="00706101"/>
    <w:rsid w:val="00707072"/>
    <w:rsid w:val="00707D61"/>
    <w:rsid w:val="00710AC9"/>
    <w:rsid w:val="00712287"/>
    <w:rsid w:val="00712772"/>
    <w:rsid w:val="007136D5"/>
    <w:rsid w:val="007148D3"/>
    <w:rsid w:val="00715B9A"/>
    <w:rsid w:val="00720AFC"/>
    <w:rsid w:val="00721B32"/>
    <w:rsid w:val="00723B90"/>
    <w:rsid w:val="007240E5"/>
    <w:rsid w:val="007257D0"/>
    <w:rsid w:val="00726EA6"/>
    <w:rsid w:val="00727208"/>
    <w:rsid w:val="00727581"/>
    <w:rsid w:val="00727680"/>
    <w:rsid w:val="00730ADF"/>
    <w:rsid w:val="007320D0"/>
    <w:rsid w:val="00732983"/>
    <w:rsid w:val="007348B1"/>
    <w:rsid w:val="0073555B"/>
    <w:rsid w:val="00735B6E"/>
    <w:rsid w:val="007362A6"/>
    <w:rsid w:val="00736D7D"/>
    <w:rsid w:val="00740E58"/>
    <w:rsid w:val="00743B34"/>
    <w:rsid w:val="007445A0"/>
    <w:rsid w:val="0074524B"/>
    <w:rsid w:val="00746D41"/>
    <w:rsid w:val="00747D8B"/>
    <w:rsid w:val="00751228"/>
    <w:rsid w:val="007571E1"/>
    <w:rsid w:val="007604B2"/>
    <w:rsid w:val="00761031"/>
    <w:rsid w:val="00765281"/>
    <w:rsid w:val="00766BAD"/>
    <w:rsid w:val="00767FA0"/>
    <w:rsid w:val="007729A2"/>
    <w:rsid w:val="007755F2"/>
    <w:rsid w:val="00776971"/>
    <w:rsid w:val="00776D52"/>
    <w:rsid w:val="00780A80"/>
    <w:rsid w:val="0078177E"/>
    <w:rsid w:val="0078304C"/>
    <w:rsid w:val="00783673"/>
    <w:rsid w:val="00784491"/>
    <w:rsid w:val="00785490"/>
    <w:rsid w:val="00787740"/>
    <w:rsid w:val="00791D8B"/>
    <w:rsid w:val="007925EA"/>
    <w:rsid w:val="00793CD8"/>
    <w:rsid w:val="00795C92"/>
    <w:rsid w:val="00796231"/>
    <w:rsid w:val="00796F43"/>
    <w:rsid w:val="007A1CB3"/>
    <w:rsid w:val="007A306F"/>
    <w:rsid w:val="007A43A6"/>
    <w:rsid w:val="007A44B6"/>
    <w:rsid w:val="007A58A6"/>
    <w:rsid w:val="007A703C"/>
    <w:rsid w:val="007A7600"/>
    <w:rsid w:val="007B3D2D"/>
    <w:rsid w:val="007B40DD"/>
    <w:rsid w:val="007B50AE"/>
    <w:rsid w:val="007B51DF"/>
    <w:rsid w:val="007C05DD"/>
    <w:rsid w:val="007C3791"/>
    <w:rsid w:val="007C38E0"/>
    <w:rsid w:val="007C3B0C"/>
    <w:rsid w:val="007C3D18"/>
    <w:rsid w:val="007C4762"/>
    <w:rsid w:val="007C60BF"/>
    <w:rsid w:val="007C6A07"/>
    <w:rsid w:val="007C75A1"/>
    <w:rsid w:val="007C77A5"/>
    <w:rsid w:val="007D04E5"/>
    <w:rsid w:val="007D0A7F"/>
    <w:rsid w:val="007D5901"/>
    <w:rsid w:val="007D7526"/>
    <w:rsid w:val="007E0E27"/>
    <w:rsid w:val="007E12D1"/>
    <w:rsid w:val="007E1944"/>
    <w:rsid w:val="007E25AB"/>
    <w:rsid w:val="007E3624"/>
    <w:rsid w:val="007E4610"/>
    <w:rsid w:val="007E4715"/>
    <w:rsid w:val="007E505B"/>
    <w:rsid w:val="007E7091"/>
    <w:rsid w:val="007F0E2F"/>
    <w:rsid w:val="007F73F5"/>
    <w:rsid w:val="00803FAE"/>
    <w:rsid w:val="008044AD"/>
    <w:rsid w:val="0080605F"/>
    <w:rsid w:val="00807786"/>
    <w:rsid w:val="00807EFC"/>
    <w:rsid w:val="00811FCB"/>
    <w:rsid w:val="008158D6"/>
    <w:rsid w:val="00815B7A"/>
    <w:rsid w:val="008163E5"/>
    <w:rsid w:val="0081695B"/>
    <w:rsid w:val="00816D78"/>
    <w:rsid w:val="00817196"/>
    <w:rsid w:val="008178C2"/>
    <w:rsid w:val="0082009E"/>
    <w:rsid w:val="00821887"/>
    <w:rsid w:val="008235DB"/>
    <w:rsid w:val="00823A29"/>
    <w:rsid w:val="00824AB4"/>
    <w:rsid w:val="008251BF"/>
    <w:rsid w:val="00825C42"/>
    <w:rsid w:val="00825D25"/>
    <w:rsid w:val="00827D6F"/>
    <w:rsid w:val="00830D2E"/>
    <w:rsid w:val="008351DA"/>
    <w:rsid w:val="008376AC"/>
    <w:rsid w:val="008444E8"/>
    <w:rsid w:val="0084499B"/>
    <w:rsid w:val="00844E80"/>
    <w:rsid w:val="008456E1"/>
    <w:rsid w:val="00846FE7"/>
    <w:rsid w:val="00850C37"/>
    <w:rsid w:val="00854A67"/>
    <w:rsid w:val="0085522E"/>
    <w:rsid w:val="008568BA"/>
    <w:rsid w:val="00856911"/>
    <w:rsid w:val="0086655B"/>
    <w:rsid w:val="00866A1E"/>
    <w:rsid w:val="008677FD"/>
    <w:rsid w:val="008703C8"/>
    <w:rsid w:val="008706D4"/>
    <w:rsid w:val="00870F8A"/>
    <w:rsid w:val="0087136B"/>
    <w:rsid w:val="008719A4"/>
    <w:rsid w:val="00871A9D"/>
    <w:rsid w:val="00871D23"/>
    <w:rsid w:val="00874312"/>
    <w:rsid w:val="0087437C"/>
    <w:rsid w:val="00875724"/>
    <w:rsid w:val="00875CD7"/>
    <w:rsid w:val="00875F43"/>
    <w:rsid w:val="00876B4D"/>
    <w:rsid w:val="00877F18"/>
    <w:rsid w:val="00882463"/>
    <w:rsid w:val="00887588"/>
    <w:rsid w:val="008941E3"/>
    <w:rsid w:val="00894A88"/>
    <w:rsid w:val="00895386"/>
    <w:rsid w:val="00896D54"/>
    <w:rsid w:val="008974B9"/>
    <w:rsid w:val="008A184E"/>
    <w:rsid w:val="008A21FF"/>
    <w:rsid w:val="008A2CE2"/>
    <w:rsid w:val="008A30AC"/>
    <w:rsid w:val="008A44B8"/>
    <w:rsid w:val="008A4EA4"/>
    <w:rsid w:val="008A51A8"/>
    <w:rsid w:val="008A54C7"/>
    <w:rsid w:val="008A55E1"/>
    <w:rsid w:val="008A5BA1"/>
    <w:rsid w:val="008A77D8"/>
    <w:rsid w:val="008A7E24"/>
    <w:rsid w:val="008B00E3"/>
    <w:rsid w:val="008B0483"/>
    <w:rsid w:val="008B120C"/>
    <w:rsid w:val="008B298C"/>
    <w:rsid w:val="008B4248"/>
    <w:rsid w:val="008B51A0"/>
    <w:rsid w:val="008B592A"/>
    <w:rsid w:val="008B7B5C"/>
    <w:rsid w:val="008B7E9E"/>
    <w:rsid w:val="008C0C99"/>
    <w:rsid w:val="008C2017"/>
    <w:rsid w:val="008C4958"/>
    <w:rsid w:val="008C4BAA"/>
    <w:rsid w:val="008C52FC"/>
    <w:rsid w:val="008C6AE8"/>
    <w:rsid w:val="008C7022"/>
    <w:rsid w:val="008C7573"/>
    <w:rsid w:val="008D00A5"/>
    <w:rsid w:val="008D34F1"/>
    <w:rsid w:val="008D362F"/>
    <w:rsid w:val="008D39D8"/>
    <w:rsid w:val="008D6D1A"/>
    <w:rsid w:val="008E065E"/>
    <w:rsid w:val="008E0927"/>
    <w:rsid w:val="008E0F4E"/>
    <w:rsid w:val="008E0FD2"/>
    <w:rsid w:val="008E1909"/>
    <w:rsid w:val="008E233A"/>
    <w:rsid w:val="008E28CF"/>
    <w:rsid w:val="008E79B9"/>
    <w:rsid w:val="008E7AF7"/>
    <w:rsid w:val="008F1C4E"/>
    <w:rsid w:val="008F1EAB"/>
    <w:rsid w:val="008F33DC"/>
    <w:rsid w:val="008F477F"/>
    <w:rsid w:val="008F54DB"/>
    <w:rsid w:val="00902350"/>
    <w:rsid w:val="0090336B"/>
    <w:rsid w:val="009053AA"/>
    <w:rsid w:val="009059E1"/>
    <w:rsid w:val="00906939"/>
    <w:rsid w:val="00910B7D"/>
    <w:rsid w:val="00910D51"/>
    <w:rsid w:val="00911DFB"/>
    <w:rsid w:val="009139D9"/>
    <w:rsid w:val="00914AD8"/>
    <w:rsid w:val="00914B21"/>
    <w:rsid w:val="00916079"/>
    <w:rsid w:val="00916AC5"/>
    <w:rsid w:val="00917CE9"/>
    <w:rsid w:val="0092075B"/>
    <w:rsid w:val="00920BF2"/>
    <w:rsid w:val="00922010"/>
    <w:rsid w:val="00925329"/>
    <w:rsid w:val="00931BD9"/>
    <w:rsid w:val="00934019"/>
    <w:rsid w:val="00935648"/>
    <w:rsid w:val="009368F3"/>
    <w:rsid w:val="00937035"/>
    <w:rsid w:val="00941394"/>
    <w:rsid w:val="00941636"/>
    <w:rsid w:val="00943742"/>
    <w:rsid w:val="0094410D"/>
    <w:rsid w:val="00945C05"/>
    <w:rsid w:val="00946945"/>
    <w:rsid w:val="0094723B"/>
    <w:rsid w:val="00947713"/>
    <w:rsid w:val="00950DE7"/>
    <w:rsid w:val="00952F3E"/>
    <w:rsid w:val="00953920"/>
    <w:rsid w:val="00953D47"/>
    <w:rsid w:val="00954E0C"/>
    <w:rsid w:val="0095681E"/>
    <w:rsid w:val="009572D4"/>
    <w:rsid w:val="00960D60"/>
    <w:rsid w:val="00961921"/>
    <w:rsid w:val="009635C4"/>
    <w:rsid w:val="009637A5"/>
    <w:rsid w:val="0096430A"/>
    <w:rsid w:val="0096554B"/>
    <w:rsid w:val="0096584A"/>
    <w:rsid w:val="00965C2C"/>
    <w:rsid w:val="00971F08"/>
    <w:rsid w:val="00973EFA"/>
    <w:rsid w:val="0097431A"/>
    <w:rsid w:val="00975ED7"/>
    <w:rsid w:val="0097603D"/>
    <w:rsid w:val="00976949"/>
    <w:rsid w:val="009775EF"/>
    <w:rsid w:val="00980471"/>
    <w:rsid w:val="00980477"/>
    <w:rsid w:val="00982237"/>
    <w:rsid w:val="00985253"/>
    <w:rsid w:val="009853B3"/>
    <w:rsid w:val="00986315"/>
    <w:rsid w:val="0099000C"/>
    <w:rsid w:val="00990630"/>
    <w:rsid w:val="00991761"/>
    <w:rsid w:val="00993BFF"/>
    <w:rsid w:val="00994DCA"/>
    <w:rsid w:val="009960EC"/>
    <w:rsid w:val="00996742"/>
    <w:rsid w:val="009970DD"/>
    <w:rsid w:val="009A0CD0"/>
    <w:rsid w:val="009A0FBA"/>
    <w:rsid w:val="009A1601"/>
    <w:rsid w:val="009A3BB6"/>
    <w:rsid w:val="009A4007"/>
    <w:rsid w:val="009A462D"/>
    <w:rsid w:val="009A56DF"/>
    <w:rsid w:val="009A5CBA"/>
    <w:rsid w:val="009B1F30"/>
    <w:rsid w:val="009B28E9"/>
    <w:rsid w:val="009B3AC2"/>
    <w:rsid w:val="009B4DF4"/>
    <w:rsid w:val="009B564E"/>
    <w:rsid w:val="009B7E87"/>
    <w:rsid w:val="009C0169"/>
    <w:rsid w:val="009C3BEB"/>
    <w:rsid w:val="009C403E"/>
    <w:rsid w:val="009D4FF0"/>
    <w:rsid w:val="009D546C"/>
    <w:rsid w:val="009D60D2"/>
    <w:rsid w:val="009D64BD"/>
    <w:rsid w:val="009D64E4"/>
    <w:rsid w:val="009D703C"/>
    <w:rsid w:val="009D718F"/>
    <w:rsid w:val="009E068F"/>
    <w:rsid w:val="009E0CEB"/>
    <w:rsid w:val="009E14E0"/>
    <w:rsid w:val="009E35DB"/>
    <w:rsid w:val="009E47A3"/>
    <w:rsid w:val="009F08F3"/>
    <w:rsid w:val="009F2F8B"/>
    <w:rsid w:val="009F344F"/>
    <w:rsid w:val="009F63D0"/>
    <w:rsid w:val="00A031D8"/>
    <w:rsid w:val="00A048A8"/>
    <w:rsid w:val="00A04F49"/>
    <w:rsid w:val="00A060D2"/>
    <w:rsid w:val="00A1042F"/>
    <w:rsid w:val="00A137DC"/>
    <w:rsid w:val="00A13E54"/>
    <w:rsid w:val="00A14B50"/>
    <w:rsid w:val="00A17F63"/>
    <w:rsid w:val="00A2010B"/>
    <w:rsid w:val="00A2193B"/>
    <w:rsid w:val="00A22EB3"/>
    <w:rsid w:val="00A2351A"/>
    <w:rsid w:val="00A2551A"/>
    <w:rsid w:val="00A264A9"/>
    <w:rsid w:val="00A26DCF"/>
    <w:rsid w:val="00A27785"/>
    <w:rsid w:val="00A30187"/>
    <w:rsid w:val="00A3448A"/>
    <w:rsid w:val="00A36297"/>
    <w:rsid w:val="00A41E2B"/>
    <w:rsid w:val="00A428C5"/>
    <w:rsid w:val="00A45B74"/>
    <w:rsid w:val="00A52E1D"/>
    <w:rsid w:val="00A61499"/>
    <w:rsid w:val="00A62A77"/>
    <w:rsid w:val="00A62CEA"/>
    <w:rsid w:val="00A63483"/>
    <w:rsid w:val="00A657D7"/>
    <w:rsid w:val="00A660AC"/>
    <w:rsid w:val="00A668CC"/>
    <w:rsid w:val="00A67E6C"/>
    <w:rsid w:val="00A70508"/>
    <w:rsid w:val="00A71B99"/>
    <w:rsid w:val="00A739D0"/>
    <w:rsid w:val="00A761D4"/>
    <w:rsid w:val="00A76708"/>
    <w:rsid w:val="00A77EC4"/>
    <w:rsid w:val="00A8061F"/>
    <w:rsid w:val="00A84064"/>
    <w:rsid w:val="00A84FE4"/>
    <w:rsid w:val="00A92879"/>
    <w:rsid w:val="00A9442A"/>
    <w:rsid w:val="00AA016F"/>
    <w:rsid w:val="00AA1ED6"/>
    <w:rsid w:val="00AA44A3"/>
    <w:rsid w:val="00AA51D6"/>
    <w:rsid w:val="00AA6135"/>
    <w:rsid w:val="00AA72B8"/>
    <w:rsid w:val="00AB0758"/>
    <w:rsid w:val="00AB0BC8"/>
    <w:rsid w:val="00AB11CA"/>
    <w:rsid w:val="00AB14D9"/>
    <w:rsid w:val="00AB4AB8"/>
    <w:rsid w:val="00AB4BB2"/>
    <w:rsid w:val="00AB655E"/>
    <w:rsid w:val="00AC007F"/>
    <w:rsid w:val="00AC0C08"/>
    <w:rsid w:val="00AC2ECD"/>
    <w:rsid w:val="00AC3119"/>
    <w:rsid w:val="00AC49FB"/>
    <w:rsid w:val="00AC4DAC"/>
    <w:rsid w:val="00AC5A10"/>
    <w:rsid w:val="00AC5A46"/>
    <w:rsid w:val="00AC61C9"/>
    <w:rsid w:val="00AC74BD"/>
    <w:rsid w:val="00AC755C"/>
    <w:rsid w:val="00AD0424"/>
    <w:rsid w:val="00AD0AA3"/>
    <w:rsid w:val="00AD2ED0"/>
    <w:rsid w:val="00AD3288"/>
    <w:rsid w:val="00AD3A56"/>
    <w:rsid w:val="00AD3F94"/>
    <w:rsid w:val="00AD49B7"/>
    <w:rsid w:val="00AD4A5A"/>
    <w:rsid w:val="00AD5109"/>
    <w:rsid w:val="00AD5C82"/>
    <w:rsid w:val="00AD6BC2"/>
    <w:rsid w:val="00AE27AC"/>
    <w:rsid w:val="00AE40E0"/>
    <w:rsid w:val="00AE4DBA"/>
    <w:rsid w:val="00AE4F07"/>
    <w:rsid w:val="00AE580D"/>
    <w:rsid w:val="00AE688F"/>
    <w:rsid w:val="00AF1C5D"/>
    <w:rsid w:val="00AF42D7"/>
    <w:rsid w:val="00AF42E0"/>
    <w:rsid w:val="00AF5334"/>
    <w:rsid w:val="00AF5EC0"/>
    <w:rsid w:val="00AF6071"/>
    <w:rsid w:val="00B006FE"/>
    <w:rsid w:val="00B007CB"/>
    <w:rsid w:val="00B00A62"/>
    <w:rsid w:val="00B02AA9"/>
    <w:rsid w:val="00B02FA3"/>
    <w:rsid w:val="00B05084"/>
    <w:rsid w:val="00B07827"/>
    <w:rsid w:val="00B126C0"/>
    <w:rsid w:val="00B157F9"/>
    <w:rsid w:val="00B16564"/>
    <w:rsid w:val="00B16B53"/>
    <w:rsid w:val="00B20256"/>
    <w:rsid w:val="00B20D09"/>
    <w:rsid w:val="00B2763F"/>
    <w:rsid w:val="00B27AAC"/>
    <w:rsid w:val="00B30929"/>
    <w:rsid w:val="00B3229E"/>
    <w:rsid w:val="00B35DB9"/>
    <w:rsid w:val="00B366BD"/>
    <w:rsid w:val="00B372AA"/>
    <w:rsid w:val="00B40445"/>
    <w:rsid w:val="00B409E0"/>
    <w:rsid w:val="00B41888"/>
    <w:rsid w:val="00B445F3"/>
    <w:rsid w:val="00B45226"/>
    <w:rsid w:val="00B45A52"/>
    <w:rsid w:val="00B46175"/>
    <w:rsid w:val="00B53CCA"/>
    <w:rsid w:val="00B548B7"/>
    <w:rsid w:val="00B664C7"/>
    <w:rsid w:val="00B66AA3"/>
    <w:rsid w:val="00B713D8"/>
    <w:rsid w:val="00B73989"/>
    <w:rsid w:val="00B739F6"/>
    <w:rsid w:val="00B81A6C"/>
    <w:rsid w:val="00B82727"/>
    <w:rsid w:val="00B84B46"/>
    <w:rsid w:val="00B84FB4"/>
    <w:rsid w:val="00B85DE5"/>
    <w:rsid w:val="00B90F73"/>
    <w:rsid w:val="00B9354E"/>
    <w:rsid w:val="00B93B59"/>
    <w:rsid w:val="00B9406A"/>
    <w:rsid w:val="00B957DE"/>
    <w:rsid w:val="00B95B7F"/>
    <w:rsid w:val="00BA172F"/>
    <w:rsid w:val="00BA2280"/>
    <w:rsid w:val="00BA2A08"/>
    <w:rsid w:val="00BA56D2"/>
    <w:rsid w:val="00BA58A1"/>
    <w:rsid w:val="00BA6491"/>
    <w:rsid w:val="00BA76E0"/>
    <w:rsid w:val="00BB0F0B"/>
    <w:rsid w:val="00BB1DEE"/>
    <w:rsid w:val="00BB2A25"/>
    <w:rsid w:val="00BB51E9"/>
    <w:rsid w:val="00BB7D29"/>
    <w:rsid w:val="00BC0FDC"/>
    <w:rsid w:val="00BC3053"/>
    <w:rsid w:val="00BC4D2E"/>
    <w:rsid w:val="00BC5361"/>
    <w:rsid w:val="00BC5E39"/>
    <w:rsid w:val="00BD111F"/>
    <w:rsid w:val="00BD40F1"/>
    <w:rsid w:val="00BD48AC"/>
    <w:rsid w:val="00BD552E"/>
    <w:rsid w:val="00BD5F1A"/>
    <w:rsid w:val="00BD78D2"/>
    <w:rsid w:val="00BE1234"/>
    <w:rsid w:val="00BE2AB0"/>
    <w:rsid w:val="00BE2FA6"/>
    <w:rsid w:val="00BE333F"/>
    <w:rsid w:val="00BE3738"/>
    <w:rsid w:val="00BE383E"/>
    <w:rsid w:val="00BE57A4"/>
    <w:rsid w:val="00BE5E32"/>
    <w:rsid w:val="00BE7406"/>
    <w:rsid w:val="00BE7603"/>
    <w:rsid w:val="00BF3279"/>
    <w:rsid w:val="00BF6E8C"/>
    <w:rsid w:val="00BF74C7"/>
    <w:rsid w:val="00C01023"/>
    <w:rsid w:val="00C015F1"/>
    <w:rsid w:val="00C01F33"/>
    <w:rsid w:val="00C02CC6"/>
    <w:rsid w:val="00C040F7"/>
    <w:rsid w:val="00C044AB"/>
    <w:rsid w:val="00C05706"/>
    <w:rsid w:val="00C07377"/>
    <w:rsid w:val="00C10478"/>
    <w:rsid w:val="00C10DCD"/>
    <w:rsid w:val="00C12107"/>
    <w:rsid w:val="00C13F02"/>
    <w:rsid w:val="00C14D4B"/>
    <w:rsid w:val="00C154BB"/>
    <w:rsid w:val="00C24D33"/>
    <w:rsid w:val="00C2599D"/>
    <w:rsid w:val="00C25E7D"/>
    <w:rsid w:val="00C25F9A"/>
    <w:rsid w:val="00C264BB"/>
    <w:rsid w:val="00C279B5"/>
    <w:rsid w:val="00C27C45"/>
    <w:rsid w:val="00C27CB9"/>
    <w:rsid w:val="00C30800"/>
    <w:rsid w:val="00C353F7"/>
    <w:rsid w:val="00C3638C"/>
    <w:rsid w:val="00C3719D"/>
    <w:rsid w:val="00C37CB2"/>
    <w:rsid w:val="00C43154"/>
    <w:rsid w:val="00C44907"/>
    <w:rsid w:val="00C454EB"/>
    <w:rsid w:val="00C46F55"/>
    <w:rsid w:val="00C473A5"/>
    <w:rsid w:val="00C515F7"/>
    <w:rsid w:val="00C539CF"/>
    <w:rsid w:val="00C540A9"/>
    <w:rsid w:val="00C54995"/>
    <w:rsid w:val="00C54D41"/>
    <w:rsid w:val="00C55F39"/>
    <w:rsid w:val="00C578C1"/>
    <w:rsid w:val="00C579A2"/>
    <w:rsid w:val="00C60783"/>
    <w:rsid w:val="00C64672"/>
    <w:rsid w:val="00C66525"/>
    <w:rsid w:val="00C678A1"/>
    <w:rsid w:val="00C70697"/>
    <w:rsid w:val="00C72093"/>
    <w:rsid w:val="00C72EF4"/>
    <w:rsid w:val="00C738CC"/>
    <w:rsid w:val="00C744FE"/>
    <w:rsid w:val="00C75D2F"/>
    <w:rsid w:val="00C767BE"/>
    <w:rsid w:val="00C76E3C"/>
    <w:rsid w:val="00C807ED"/>
    <w:rsid w:val="00C81568"/>
    <w:rsid w:val="00C9027A"/>
    <w:rsid w:val="00C9068E"/>
    <w:rsid w:val="00C9290E"/>
    <w:rsid w:val="00C93814"/>
    <w:rsid w:val="00C93C4B"/>
    <w:rsid w:val="00C944AB"/>
    <w:rsid w:val="00C95B40"/>
    <w:rsid w:val="00CA0CFC"/>
    <w:rsid w:val="00CA1ED8"/>
    <w:rsid w:val="00CA5C08"/>
    <w:rsid w:val="00CA75CA"/>
    <w:rsid w:val="00CB18A9"/>
    <w:rsid w:val="00CB1E2F"/>
    <w:rsid w:val="00CB1F63"/>
    <w:rsid w:val="00CB4343"/>
    <w:rsid w:val="00CB7170"/>
    <w:rsid w:val="00CC040E"/>
    <w:rsid w:val="00CC111F"/>
    <w:rsid w:val="00CC2011"/>
    <w:rsid w:val="00CC3EA0"/>
    <w:rsid w:val="00CC435F"/>
    <w:rsid w:val="00CC49D9"/>
    <w:rsid w:val="00CC4F71"/>
    <w:rsid w:val="00CC7B45"/>
    <w:rsid w:val="00CD1188"/>
    <w:rsid w:val="00CD1FF9"/>
    <w:rsid w:val="00CD2ED1"/>
    <w:rsid w:val="00CD337B"/>
    <w:rsid w:val="00CD6BA8"/>
    <w:rsid w:val="00CD6C32"/>
    <w:rsid w:val="00CE0424"/>
    <w:rsid w:val="00CE17B9"/>
    <w:rsid w:val="00CE23D8"/>
    <w:rsid w:val="00CE2C40"/>
    <w:rsid w:val="00CE64B5"/>
    <w:rsid w:val="00CE7561"/>
    <w:rsid w:val="00CF0646"/>
    <w:rsid w:val="00CF1354"/>
    <w:rsid w:val="00CF1587"/>
    <w:rsid w:val="00CF3B1F"/>
    <w:rsid w:val="00CF3BF6"/>
    <w:rsid w:val="00CF625B"/>
    <w:rsid w:val="00CF687E"/>
    <w:rsid w:val="00CF737D"/>
    <w:rsid w:val="00D0349B"/>
    <w:rsid w:val="00D04BA9"/>
    <w:rsid w:val="00D04FA5"/>
    <w:rsid w:val="00D06DB3"/>
    <w:rsid w:val="00D10249"/>
    <w:rsid w:val="00D105D9"/>
    <w:rsid w:val="00D115C3"/>
    <w:rsid w:val="00D11897"/>
    <w:rsid w:val="00D13135"/>
    <w:rsid w:val="00D13964"/>
    <w:rsid w:val="00D13E4E"/>
    <w:rsid w:val="00D1772E"/>
    <w:rsid w:val="00D2192A"/>
    <w:rsid w:val="00D239A7"/>
    <w:rsid w:val="00D23F47"/>
    <w:rsid w:val="00D2517F"/>
    <w:rsid w:val="00D27AEF"/>
    <w:rsid w:val="00D312A1"/>
    <w:rsid w:val="00D32EAC"/>
    <w:rsid w:val="00D35329"/>
    <w:rsid w:val="00D36E71"/>
    <w:rsid w:val="00D36E82"/>
    <w:rsid w:val="00D37D87"/>
    <w:rsid w:val="00D40B33"/>
    <w:rsid w:val="00D4318F"/>
    <w:rsid w:val="00D438BF"/>
    <w:rsid w:val="00D440F8"/>
    <w:rsid w:val="00D44BEC"/>
    <w:rsid w:val="00D46C35"/>
    <w:rsid w:val="00D47F7C"/>
    <w:rsid w:val="00D52527"/>
    <w:rsid w:val="00D546FF"/>
    <w:rsid w:val="00D55149"/>
    <w:rsid w:val="00D55AD5"/>
    <w:rsid w:val="00D576CA"/>
    <w:rsid w:val="00D60686"/>
    <w:rsid w:val="00D61AF5"/>
    <w:rsid w:val="00D6482B"/>
    <w:rsid w:val="00D652B5"/>
    <w:rsid w:val="00D66155"/>
    <w:rsid w:val="00D672DE"/>
    <w:rsid w:val="00D675D3"/>
    <w:rsid w:val="00D708B0"/>
    <w:rsid w:val="00D73593"/>
    <w:rsid w:val="00D73C3F"/>
    <w:rsid w:val="00D74D5F"/>
    <w:rsid w:val="00D7753A"/>
    <w:rsid w:val="00D77B1D"/>
    <w:rsid w:val="00D8021F"/>
    <w:rsid w:val="00D80383"/>
    <w:rsid w:val="00D823C6"/>
    <w:rsid w:val="00D8327F"/>
    <w:rsid w:val="00D8686E"/>
    <w:rsid w:val="00D86CA3"/>
    <w:rsid w:val="00D871CE"/>
    <w:rsid w:val="00D9136A"/>
    <w:rsid w:val="00D9196D"/>
    <w:rsid w:val="00D92982"/>
    <w:rsid w:val="00D944AA"/>
    <w:rsid w:val="00D96746"/>
    <w:rsid w:val="00DA12D7"/>
    <w:rsid w:val="00DA2BF6"/>
    <w:rsid w:val="00DA305E"/>
    <w:rsid w:val="00DA443D"/>
    <w:rsid w:val="00DA5417"/>
    <w:rsid w:val="00DA5617"/>
    <w:rsid w:val="00DA56E8"/>
    <w:rsid w:val="00DA690D"/>
    <w:rsid w:val="00DB0A9F"/>
    <w:rsid w:val="00DB20EC"/>
    <w:rsid w:val="00DB2426"/>
    <w:rsid w:val="00DB377D"/>
    <w:rsid w:val="00DB38E3"/>
    <w:rsid w:val="00DB4B80"/>
    <w:rsid w:val="00DC239A"/>
    <w:rsid w:val="00DC2D36"/>
    <w:rsid w:val="00DC45AB"/>
    <w:rsid w:val="00DC53EF"/>
    <w:rsid w:val="00DD0767"/>
    <w:rsid w:val="00DD0C3A"/>
    <w:rsid w:val="00DD22E0"/>
    <w:rsid w:val="00DD4798"/>
    <w:rsid w:val="00DD4CC2"/>
    <w:rsid w:val="00DD7148"/>
    <w:rsid w:val="00DD7BAD"/>
    <w:rsid w:val="00DE1F68"/>
    <w:rsid w:val="00DE2C16"/>
    <w:rsid w:val="00DE5608"/>
    <w:rsid w:val="00DE58D0"/>
    <w:rsid w:val="00DE654F"/>
    <w:rsid w:val="00DF0B6E"/>
    <w:rsid w:val="00DF0F23"/>
    <w:rsid w:val="00DF15E0"/>
    <w:rsid w:val="00DF178D"/>
    <w:rsid w:val="00DF2D24"/>
    <w:rsid w:val="00DF37A0"/>
    <w:rsid w:val="00DF649E"/>
    <w:rsid w:val="00DF6663"/>
    <w:rsid w:val="00E013B3"/>
    <w:rsid w:val="00E02683"/>
    <w:rsid w:val="00E02971"/>
    <w:rsid w:val="00E04E20"/>
    <w:rsid w:val="00E110E7"/>
    <w:rsid w:val="00E11B20"/>
    <w:rsid w:val="00E166BB"/>
    <w:rsid w:val="00E17FA2"/>
    <w:rsid w:val="00E22330"/>
    <w:rsid w:val="00E22B22"/>
    <w:rsid w:val="00E30B5A"/>
    <w:rsid w:val="00E3123D"/>
    <w:rsid w:val="00E31461"/>
    <w:rsid w:val="00E31D43"/>
    <w:rsid w:val="00E32576"/>
    <w:rsid w:val="00E32608"/>
    <w:rsid w:val="00E34188"/>
    <w:rsid w:val="00E34B6E"/>
    <w:rsid w:val="00E35559"/>
    <w:rsid w:val="00E3723A"/>
    <w:rsid w:val="00E37860"/>
    <w:rsid w:val="00E446F1"/>
    <w:rsid w:val="00E447DB"/>
    <w:rsid w:val="00E46886"/>
    <w:rsid w:val="00E46A8D"/>
    <w:rsid w:val="00E47534"/>
    <w:rsid w:val="00E47AEF"/>
    <w:rsid w:val="00E51B55"/>
    <w:rsid w:val="00E53B75"/>
    <w:rsid w:val="00E5404D"/>
    <w:rsid w:val="00E54E3B"/>
    <w:rsid w:val="00E563F2"/>
    <w:rsid w:val="00E56513"/>
    <w:rsid w:val="00E570B3"/>
    <w:rsid w:val="00E57565"/>
    <w:rsid w:val="00E63838"/>
    <w:rsid w:val="00E64434"/>
    <w:rsid w:val="00E67C51"/>
    <w:rsid w:val="00E72E4A"/>
    <w:rsid w:val="00E72EFC"/>
    <w:rsid w:val="00E74458"/>
    <w:rsid w:val="00E758EC"/>
    <w:rsid w:val="00E804F5"/>
    <w:rsid w:val="00E8234C"/>
    <w:rsid w:val="00E82650"/>
    <w:rsid w:val="00E82FF4"/>
    <w:rsid w:val="00E83AA9"/>
    <w:rsid w:val="00E85928"/>
    <w:rsid w:val="00E87822"/>
    <w:rsid w:val="00E90395"/>
    <w:rsid w:val="00E90A6F"/>
    <w:rsid w:val="00E90E49"/>
    <w:rsid w:val="00E917F9"/>
    <w:rsid w:val="00E92103"/>
    <w:rsid w:val="00E92533"/>
    <w:rsid w:val="00E9291C"/>
    <w:rsid w:val="00E93FFE"/>
    <w:rsid w:val="00E94F8A"/>
    <w:rsid w:val="00EA01C8"/>
    <w:rsid w:val="00EA4F8A"/>
    <w:rsid w:val="00EA54AB"/>
    <w:rsid w:val="00EA7A41"/>
    <w:rsid w:val="00EB077B"/>
    <w:rsid w:val="00EB4EA2"/>
    <w:rsid w:val="00EB692C"/>
    <w:rsid w:val="00EC0929"/>
    <w:rsid w:val="00EC24D5"/>
    <w:rsid w:val="00EC27C6"/>
    <w:rsid w:val="00EC2B20"/>
    <w:rsid w:val="00EC33CB"/>
    <w:rsid w:val="00EC4207"/>
    <w:rsid w:val="00EC51B5"/>
    <w:rsid w:val="00EC5653"/>
    <w:rsid w:val="00EC71CE"/>
    <w:rsid w:val="00ED0053"/>
    <w:rsid w:val="00ED0374"/>
    <w:rsid w:val="00ED0577"/>
    <w:rsid w:val="00ED1006"/>
    <w:rsid w:val="00ED1825"/>
    <w:rsid w:val="00EF0CD7"/>
    <w:rsid w:val="00EF18FE"/>
    <w:rsid w:val="00EF5787"/>
    <w:rsid w:val="00EF60D0"/>
    <w:rsid w:val="00EF61B8"/>
    <w:rsid w:val="00EF6EFB"/>
    <w:rsid w:val="00F050B5"/>
    <w:rsid w:val="00F0528D"/>
    <w:rsid w:val="00F06C67"/>
    <w:rsid w:val="00F06DFD"/>
    <w:rsid w:val="00F071D1"/>
    <w:rsid w:val="00F07533"/>
    <w:rsid w:val="00F079D5"/>
    <w:rsid w:val="00F10629"/>
    <w:rsid w:val="00F151A1"/>
    <w:rsid w:val="00F15FA5"/>
    <w:rsid w:val="00F207C8"/>
    <w:rsid w:val="00F209B7"/>
    <w:rsid w:val="00F21180"/>
    <w:rsid w:val="00F2376F"/>
    <w:rsid w:val="00F243D8"/>
    <w:rsid w:val="00F27126"/>
    <w:rsid w:val="00F30343"/>
    <w:rsid w:val="00F30828"/>
    <w:rsid w:val="00F313D6"/>
    <w:rsid w:val="00F36DD8"/>
    <w:rsid w:val="00F40F0C"/>
    <w:rsid w:val="00F44DD9"/>
    <w:rsid w:val="00F4540B"/>
    <w:rsid w:val="00F463F4"/>
    <w:rsid w:val="00F4766C"/>
    <w:rsid w:val="00F5060E"/>
    <w:rsid w:val="00F507D1"/>
    <w:rsid w:val="00F519CE"/>
    <w:rsid w:val="00F51ADA"/>
    <w:rsid w:val="00F52EF1"/>
    <w:rsid w:val="00F5364A"/>
    <w:rsid w:val="00F53654"/>
    <w:rsid w:val="00F570E7"/>
    <w:rsid w:val="00F576BD"/>
    <w:rsid w:val="00F60203"/>
    <w:rsid w:val="00F607C5"/>
    <w:rsid w:val="00F60DEA"/>
    <w:rsid w:val="00F6302A"/>
    <w:rsid w:val="00F63950"/>
    <w:rsid w:val="00F64C2B"/>
    <w:rsid w:val="00F651BE"/>
    <w:rsid w:val="00F65C62"/>
    <w:rsid w:val="00F67F53"/>
    <w:rsid w:val="00F703BE"/>
    <w:rsid w:val="00F71F69"/>
    <w:rsid w:val="00F72B72"/>
    <w:rsid w:val="00F72F94"/>
    <w:rsid w:val="00F74BB9"/>
    <w:rsid w:val="00F75441"/>
    <w:rsid w:val="00F754D5"/>
    <w:rsid w:val="00F75582"/>
    <w:rsid w:val="00F76D47"/>
    <w:rsid w:val="00F76EFA"/>
    <w:rsid w:val="00F804BE"/>
    <w:rsid w:val="00F817CE"/>
    <w:rsid w:val="00F82A6D"/>
    <w:rsid w:val="00F8456C"/>
    <w:rsid w:val="00F859D8"/>
    <w:rsid w:val="00F868F5"/>
    <w:rsid w:val="00F9056A"/>
    <w:rsid w:val="00F90F8D"/>
    <w:rsid w:val="00F92782"/>
    <w:rsid w:val="00F93AA9"/>
    <w:rsid w:val="00F952AA"/>
    <w:rsid w:val="00F96985"/>
    <w:rsid w:val="00F97838"/>
    <w:rsid w:val="00FA2BB3"/>
    <w:rsid w:val="00FA31E9"/>
    <w:rsid w:val="00FA6915"/>
    <w:rsid w:val="00FB4C80"/>
    <w:rsid w:val="00FB6A6A"/>
    <w:rsid w:val="00FB7B59"/>
    <w:rsid w:val="00FB7F2F"/>
    <w:rsid w:val="00FC35BA"/>
    <w:rsid w:val="00FC3799"/>
    <w:rsid w:val="00FC3DDA"/>
    <w:rsid w:val="00FC608F"/>
    <w:rsid w:val="00FC7429"/>
    <w:rsid w:val="00FC7462"/>
    <w:rsid w:val="00FD07F6"/>
    <w:rsid w:val="00FD1947"/>
    <w:rsid w:val="00FD1EC8"/>
    <w:rsid w:val="00FD47ED"/>
    <w:rsid w:val="00FD6281"/>
    <w:rsid w:val="00FD6FE0"/>
    <w:rsid w:val="00FD74DB"/>
    <w:rsid w:val="00FD7660"/>
    <w:rsid w:val="00FE0655"/>
    <w:rsid w:val="00FE2365"/>
    <w:rsid w:val="00FE37D7"/>
    <w:rsid w:val="00FE4C7B"/>
    <w:rsid w:val="00FE7336"/>
    <w:rsid w:val="00FE787C"/>
    <w:rsid w:val="00FE794E"/>
    <w:rsid w:val="00FF230B"/>
    <w:rsid w:val="00FF40D7"/>
    <w:rsid w:val="00FF45A5"/>
    <w:rsid w:val="00FF5C91"/>
    <w:rsid w:val="00FF5CC2"/>
    <w:rsid w:val="00FF6B4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B1B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074C07"/>
    <w:pPr>
      <w:numPr>
        <w:numId w:val="3"/>
      </w:numPr>
      <w:tabs>
        <w:tab w:val="clear" w:pos="1304"/>
        <w:tab w:val="left" w:pos="1701"/>
      </w:tabs>
      <w:ind w:left="1701" w:hanging="1701"/>
    </w:pPr>
    <w:rPr>
      <w:b/>
      <w:bCs/>
      <w:lang w:val="en-GB"/>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BB7D29"/>
    <w:rPr>
      <w:color w:val="605E5C"/>
      <w:shd w:val="clear" w:color="auto" w:fill="E1DFDD"/>
    </w:rPr>
  </w:style>
  <w:style w:type="character" w:styleId="Mention">
    <w:name w:val="Mention"/>
    <w:basedOn w:val="DefaultParagraphFont"/>
    <w:uiPriority w:val="99"/>
    <w:unhideWhenUsed/>
    <w:rsid w:val="00BB7D29"/>
    <w:rPr>
      <w:color w:val="2B579A"/>
      <w:shd w:val="clear" w:color="auto" w:fill="E1DFDD"/>
    </w:rPr>
  </w:style>
  <w:style w:type="character" w:customStyle="1" w:styleId="ReferenceChar">
    <w:name w:val="Reference Char"/>
    <w:link w:val="Reference"/>
    <w:rsid w:val="00BB7D29"/>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782190">
      <w:bodyDiv w:val="1"/>
      <w:marLeft w:val="0"/>
      <w:marRight w:val="0"/>
      <w:marTop w:val="0"/>
      <w:marBottom w:val="0"/>
      <w:divBdr>
        <w:top w:val="none" w:sz="0" w:space="0" w:color="auto"/>
        <w:left w:val="none" w:sz="0" w:space="0" w:color="auto"/>
        <w:bottom w:val="none" w:sz="0" w:space="0" w:color="auto"/>
        <w:right w:val="none" w:sz="0" w:space="0" w:color="auto"/>
      </w:divBdr>
      <w:divsChild>
        <w:div w:id="593828023">
          <w:marLeft w:val="0"/>
          <w:marRight w:val="0"/>
          <w:marTop w:val="0"/>
          <w:marBottom w:val="0"/>
          <w:divBdr>
            <w:top w:val="none" w:sz="0" w:space="0" w:color="auto"/>
            <w:left w:val="none" w:sz="0" w:space="0" w:color="auto"/>
            <w:bottom w:val="none" w:sz="0" w:space="0" w:color="auto"/>
            <w:right w:val="none" w:sz="0" w:space="0" w:color="auto"/>
          </w:divBdr>
        </w:div>
      </w:divsChild>
    </w:div>
    <w:div w:id="958027775">
      <w:bodyDiv w:val="1"/>
      <w:marLeft w:val="0"/>
      <w:marRight w:val="0"/>
      <w:marTop w:val="0"/>
      <w:marBottom w:val="0"/>
      <w:divBdr>
        <w:top w:val="none" w:sz="0" w:space="0" w:color="auto"/>
        <w:left w:val="none" w:sz="0" w:space="0" w:color="auto"/>
        <w:bottom w:val="none" w:sz="0" w:space="0" w:color="auto"/>
        <w:right w:val="none" w:sz="0" w:space="0" w:color="auto"/>
      </w:divBdr>
    </w:div>
    <w:div w:id="1003509959">
      <w:bodyDiv w:val="1"/>
      <w:marLeft w:val="0"/>
      <w:marRight w:val="0"/>
      <w:marTop w:val="0"/>
      <w:marBottom w:val="0"/>
      <w:divBdr>
        <w:top w:val="none" w:sz="0" w:space="0" w:color="auto"/>
        <w:left w:val="none" w:sz="0" w:space="0" w:color="auto"/>
        <w:bottom w:val="none" w:sz="0" w:space="0" w:color="auto"/>
        <w:right w:val="none" w:sz="0" w:space="0" w:color="auto"/>
      </w:divBdr>
      <w:divsChild>
        <w:div w:id="76485541">
          <w:marLeft w:val="0"/>
          <w:marRight w:val="0"/>
          <w:marTop w:val="0"/>
          <w:marBottom w:val="0"/>
          <w:divBdr>
            <w:top w:val="none" w:sz="0" w:space="0" w:color="auto"/>
            <w:left w:val="none" w:sz="0" w:space="0" w:color="auto"/>
            <w:bottom w:val="none" w:sz="0" w:space="0" w:color="auto"/>
            <w:right w:val="none" w:sz="0" w:space="0" w:color="auto"/>
          </w:divBdr>
        </w:div>
      </w:divsChild>
    </w:div>
    <w:div w:id="1193495497">
      <w:bodyDiv w:val="1"/>
      <w:marLeft w:val="0"/>
      <w:marRight w:val="0"/>
      <w:marTop w:val="0"/>
      <w:marBottom w:val="0"/>
      <w:divBdr>
        <w:top w:val="none" w:sz="0" w:space="0" w:color="auto"/>
        <w:left w:val="none" w:sz="0" w:space="0" w:color="auto"/>
        <w:bottom w:val="none" w:sz="0" w:space="0" w:color="auto"/>
        <w:right w:val="none" w:sz="0" w:space="0" w:color="auto"/>
      </w:divBdr>
      <w:divsChild>
        <w:div w:id="1706515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7E605-DFF3-493D-9D1D-70D633DD4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4625</Words>
  <Characters>26962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2021-05-11T19:13:00Z</dcterms:created>
  <dcterms:modified xsi:type="dcterms:W3CDTF">2021-05-11T20:10:00Z</dcterms:modified>
  <cp:category/>
</cp:coreProperties>
</file>